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1954A" w14:textId="7084C349" w:rsidR="00257975" w:rsidRDefault="002D3AAC" w:rsidP="002D3AAC">
      <w:pPr>
        <w:pStyle w:val="Otsikko1"/>
      </w:pPr>
      <w:bookmarkStart w:id="0" w:name="_GoBack"/>
      <w:bookmarkEnd w:id="0"/>
      <w:r>
        <w:t xml:space="preserve">Valtioneuvoston asetus </w:t>
      </w:r>
      <w:r w:rsidR="001B7B41">
        <w:t>ionisoivasta säteilystä</w:t>
      </w:r>
    </w:p>
    <w:p w14:paraId="7EE1954B" w14:textId="77777777" w:rsidR="002D3AAC" w:rsidRDefault="002D3AAC" w:rsidP="002D3AAC">
      <w:pPr>
        <w:pStyle w:val="Eivli"/>
      </w:pPr>
    </w:p>
    <w:p w14:paraId="2782127B" w14:textId="77777777" w:rsidR="00BD7654" w:rsidRDefault="00BD7654" w:rsidP="002D3AAC">
      <w:pPr>
        <w:pStyle w:val="Eivli"/>
      </w:pPr>
    </w:p>
    <w:p w14:paraId="7EE1954C" w14:textId="77777777" w:rsidR="002D3AAC" w:rsidRDefault="002D3AAC" w:rsidP="002D3AAC">
      <w:pPr>
        <w:pStyle w:val="Eivli"/>
      </w:pPr>
      <w:r>
        <w:t>Valtioneuvoston päätöksen mukaisesti säädetään säteilylain ( / ) nojalla:</w:t>
      </w:r>
    </w:p>
    <w:p w14:paraId="7EE1954D" w14:textId="77777777" w:rsidR="002D3AAC" w:rsidRDefault="002D3AAC" w:rsidP="002D3AAC">
      <w:pPr>
        <w:pStyle w:val="Eivli"/>
      </w:pPr>
    </w:p>
    <w:p w14:paraId="5052382D" w14:textId="77777777" w:rsidR="00BD7654" w:rsidRDefault="00BD7654" w:rsidP="002D3AAC">
      <w:pPr>
        <w:pStyle w:val="Eivli"/>
      </w:pPr>
    </w:p>
    <w:p w14:paraId="7EE1954E" w14:textId="77777777" w:rsidR="002D3AAC" w:rsidRDefault="002D3AAC" w:rsidP="002D3AAC">
      <w:pPr>
        <w:pStyle w:val="Eivli"/>
        <w:jc w:val="center"/>
      </w:pPr>
      <w:r>
        <w:t>1 luku</w:t>
      </w:r>
    </w:p>
    <w:p w14:paraId="7EE1954F" w14:textId="77777777" w:rsidR="002D3AAC" w:rsidRDefault="002D3AAC" w:rsidP="002D3AAC">
      <w:pPr>
        <w:pStyle w:val="Eivli"/>
        <w:jc w:val="center"/>
        <w:rPr>
          <w:b/>
        </w:rPr>
      </w:pPr>
      <w:r>
        <w:rPr>
          <w:b/>
        </w:rPr>
        <w:t>Yleiset säännökset</w:t>
      </w:r>
    </w:p>
    <w:p w14:paraId="7EE19550" w14:textId="77777777" w:rsidR="002D3AAC" w:rsidRDefault="002D3AAC" w:rsidP="002D3AAC">
      <w:pPr>
        <w:pStyle w:val="Eivli"/>
      </w:pPr>
    </w:p>
    <w:p w14:paraId="7EE19551" w14:textId="3C948190" w:rsidR="002D3AAC" w:rsidRDefault="00A6711B" w:rsidP="002D3AAC">
      <w:pPr>
        <w:pStyle w:val="Eivli"/>
        <w:jc w:val="center"/>
      </w:pPr>
      <w:r>
        <w:t xml:space="preserve">1 </w:t>
      </w:r>
      <w:r w:rsidR="002D3AAC">
        <w:t>§</w:t>
      </w:r>
    </w:p>
    <w:p w14:paraId="7EE19552" w14:textId="1DC1F751" w:rsidR="002D3AAC" w:rsidRDefault="0065696B" w:rsidP="002D3AAC">
      <w:pPr>
        <w:pStyle w:val="Eivli"/>
        <w:jc w:val="center"/>
        <w:rPr>
          <w:i/>
        </w:rPr>
      </w:pPr>
      <w:r>
        <w:rPr>
          <w:i/>
        </w:rPr>
        <w:t>Soveltamisalan rajaukset</w:t>
      </w:r>
    </w:p>
    <w:p w14:paraId="7EE19553" w14:textId="77777777" w:rsidR="002D3AAC" w:rsidRDefault="002D3AAC" w:rsidP="002D3AAC">
      <w:pPr>
        <w:pStyle w:val="Eivli"/>
      </w:pPr>
    </w:p>
    <w:p w14:paraId="7EE19554" w14:textId="4D02AE7A" w:rsidR="002D3AAC" w:rsidRDefault="0065696B" w:rsidP="002D3AAC">
      <w:pPr>
        <w:pStyle w:val="Eivli"/>
      </w:pPr>
      <w:r>
        <w:t xml:space="preserve">Tätä asetusta </w:t>
      </w:r>
      <w:r w:rsidR="00F47604">
        <w:t>ei sovelleta ionisoimattomaan säteilyyn.</w:t>
      </w:r>
    </w:p>
    <w:p w14:paraId="41FAE1D3" w14:textId="77777777" w:rsidR="0065696B" w:rsidRDefault="0065696B" w:rsidP="002D3AAC">
      <w:pPr>
        <w:pStyle w:val="Eivli"/>
      </w:pPr>
    </w:p>
    <w:p w14:paraId="6E2DDD88" w14:textId="77777777" w:rsidR="006B5C14" w:rsidRDefault="006B5C14" w:rsidP="002D3AAC">
      <w:pPr>
        <w:pStyle w:val="Eivli"/>
      </w:pPr>
    </w:p>
    <w:p w14:paraId="50C18785" w14:textId="0683E8E5" w:rsidR="0065696B" w:rsidRDefault="00A6711B" w:rsidP="0065696B">
      <w:pPr>
        <w:pStyle w:val="Eivli"/>
        <w:jc w:val="center"/>
      </w:pPr>
      <w:r>
        <w:t xml:space="preserve">2 </w:t>
      </w:r>
      <w:r w:rsidR="0065696B">
        <w:t>§</w:t>
      </w:r>
    </w:p>
    <w:p w14:paraId="26976C79" w14:textId="29BF37AC" w:rsidR="0065696B" w:rsidRPr="0065696B" w:rsidRDefault="0065696B" w:rsidP="0065696B">
      <w:pPr>
        <w:pStyle w:val="Eivli"/>
        <w:jc w:val="center"/>
        <w:rPr>
          <w:i/>
        </w:rPr>
      </w:pPr>
      <w:r>
        <w:rPr>
          <w:i/>
        </w:rPr>
        <w:t>Määritelmät</w:t>
      </w:r>
    </w:p>
    <w:p w14:paraId="23E80CAC" w14:textId="77777777" w:rsidR="0065696B" w:rsidRDefault="0065696B" w:rsidP="002D3AAC">
      <w:pPr>
        <w:pStyle w:val="Eivli"/>
      </w:pPr>
    </w:p>
    <w:p w14:paraId="33801280" w14:textId="52FCBA43" w:rsidR="0065696B" w:rsidRDefault="0065696B" w:rsidP="002D3AAC">
      <w:pPr>
        <w:pStyle w:val="Eivli"/>
      </w:pPr>
      <w:r>
        <w:t>Tässä asetuksessa tarkoitetaan:</w:t>
      </w:r>
    </w:p>
    <w:p w14:paraId="370196A3" w14:textId="37EB7FD6" w:rsidR="0065696B" w:rsidRDefault="0065696B" w:rsidP="00624C57">
      <w:pPr>
        <w:pStyle w:val="Eivli"/>
        <w:numPr>
          <w:ilvl w:val="0"/>
          <w:numId w:val="12"/>
        </w:numPr>
      </w:pPr>
      <w:r>
        <w:t>…</w:t>
      </w:r>
    </w:p>
    <w:p w14:paraId="3A0A4AFC" w14:textId="1AB73372" w:rsidR="0065696B" w:rsidRDefault="0065696B" w:rsidP="00624C57">
      <w:pPr>
        <w:pStyle w:val="Eivli"/>
        <w:numPr>
          <w:ilvl w:val="0"/>
          <w:numId w:val="12"/>
        </w:numPr>
      </w:pPr>
      <w:r>
        <w:t>…</w:t>
      </w:r>
    </w:p>
    <w:p w14:paraId="23AF64B5" w14:textId="4091E1BD" w:rsidR="0065696B" w:rsidRDefault="0065696B" w:rsidP="00624C57">
      <w:pPr>
        <w:pStyle w:val="Eivli"/>
        <w:numPr>
          <w:ilvl w:val="0"/>
          <w:numId w:val="12"/>
        </w:numPr>
      </w:pPr>
      <w:r>
        <w:t>…</w:t>
      </w:r>
    </w:p>
    <w:p w14:paraId="7EE19556" w14:textId="77777777" w:rsidR="002D3AAC" w:rsidRDefault="002D3AAC" w:rsidP="002D3AAC">
      <w:pPr>
        <w:pStyle w:val="Eivli"/>
      </w:pPr>
    </w:p>
    <w:p w14:paraId="4F1A0AD1" w14:textId="48761954" w:rsidR="00506342" w:rsidRDefault="002D3AAC" w:rsidP="00506342">
      <w:pPr>
        <w:pStyle w:val="Eivli"/>
        <w:jc w:val="center"/>
      </w:pPr>
      <w:r>
        <w:t>2 luku</w:t>
      </w:r>
    </w:p>
    <w:p w14:paraId="351DC1ED" w14:textId="5B16896E" w:rsidR="00506342" w:rsidRDefault="00506342" w:rsidP="00506342">
      <w:pPr>
        <w:pStyle w:val="Eivli"/>
        <w:jc w:val="center"/>
        <w:rPr>
          <w:b/>
        </w:rPr>
      </w:pPr>
      <w:r>
        <w:rPr>
          <w:b/>
        </w:rPr>
        <w:t>Yleiset periaatteet</w:t>
      </w:r>
    </w:p>
    <w:p w14:paraId="7EE19559" w14:textId="77777777" w:rsidR="002D3AAC" w:rsidRDefault="002D3AAC" w:rsidP="002D3AAC">
      <w:pPr>
        <w:pStyle w:val="Eivli"/>
      </w:pPr>
    </w:p>
    <w:p w14:paraId="19226BE6" w14:textId="25205A94" w:rsidR="0065696B" w:rsidRDefault="00C66DC3" w:rsidP="0065696B">
      <w:pPr>
        <w:pStyle w:val="Eivli"/>
        <w:jc w:val="center"/>
      </w:pPr>
      <w:r>
        <w:t>3</w:t>
      </w:r>
      <w:r w:rsidR="00A6711B">
        <w:t xml:space="preserve"> </w:t>
      </w:r>
      <w:r w:rsidR="0065696B">
        <w:t>§</w:t>
      </w:r>
    </w:p>
    <w:p w14:paraId="08A29F0D" w14:textId="2F542FA0" w:rsidR="0065696B" w:rsidRDefault="0065696B" w:rsidP="0065696B">
      <w:pPr>
        <w:pStyle w:val="Eivli"/>
        <w:jc w:val="center"/>
        <w:rPr>
          <w:i/>
        </w:rPr>
      </w:pPr>
      <w:r w:rsidRPr="0065696B">
        <w:rPr>
          <w:i/>
        </w:rPr>
        <w:t>Oikeutuksen arvioinnissa ja suojelun optimoinnissa huomioitavat altistukset</w:t>
      </w:r>
    </w:p>
    <w:p w14:paraId="5450803B" w14:textId="77777777" w:rsidR="0065696B" w:rsidRDefault="0065696B" w:rsidP="0065696B">
      <w:pPr>
        <w:pStyle w:val="Eivli"/>
      </w:pPr>
    </w:p>
    <w:p w14:paraId="74A87F06" w14:textId="4C99C7F6" w:rsidR="0065696B" w:rsidRPr="0065696B" w:rsidRDefault="0065696B" w:rsidP="0065696B">
      <w:pPr>
        <w:pStyle w:val="Eivli"/>
      </w:pPr>
      <w:r w:rsidRPr="0065696B">
        <w:t>Säteilytoiminnan oikeutuksen arvioinnissa ja suojelun optimoinnissa on huomioitava työperäinen altistus, toiminnasta väestölle aiheutuva altistus ja lääketieteellinen altistus.</w:t>
      </w:r>
    </w:p>
    <w:p w14:paraId="7F1DF765" w14:textId="77777777" w:rsidR="0065696B" w:rsidRPr="0065696B" w:rsidRDefault="0065696B" w:rsidP="0065696B">
      <w:pPr>
        <w:pStyle w:val="Eivli"/>
      </w:pPr>
    </w:p>
    <w:p w14:paraId="3BA8E563" w14:textId="2E9F44EC" w:rsidR="0065696B" w:rsidRPr="0065696B" w:rsidRDefault="0065696B" w:rsidP="0065696B">
      <w:pPr>
        <w:pStyle w:val="Eivli"/>
      </w:pPr>
      <w:r>
        <w:t>P</w:t>
      </w:r>
      <w:r w:rsidR="004C2A6D">
        <w:t>otilaskohtaise</w:t>
      </w:r>
      <w:r w:rsidRPr="0065696B">
        <w:t xml:space="preserve">n lääketieteellisen altistuksen oikeutuksen </w:t>
      </w:r>
      <w:r w:rsidR="002902D9">
        <w:t>arvioinnissa ei huomioida</w:t>
      </w:r>
      <w:r w:rsidR="00B30253">
        <w:t xml:space="preserve"> työperäis</w:t>
      </w:r>
      <w:r w:rsidR="004C2A6D">
        <w:t>tä</w:t>
      </w:r>
      <w:r w:rsidR="00B30253">
        <w:t xml:space="preserve"> altistu</w:t>
      </w:r>
      <w:r w:rsidR="004C2A6D">
        <w:t>sta</w:t>
      </w:r>
      <w:r w:rsidR="00B30253">
        <w:t xml:space="preserve"> ja </w:t>
      </w:r>
      <w:r w:rsidR="007C6CDF">
        <w:t xml:space="preserve">toiminnasta </w:t>
      </w:r>
      <w:r w:rsidR="00B30253">
        <w:t>väestölle aiheutuva</w:t>
      </w:r>
      <w:r w:rsidR="004C2A6D">
        <w:t>a altistust</w:t>
      </w:r>
      <w:r w:rsidR="00B30253">
        <w:t>a.</w:t>
      </w:r>
    </w:p>
    <w:p w14:paraId="10A00E4A" w14:textId="77777777" w:rsidR="0065696B" w:rsidRDefault="0065696B" w:rsidP="0065696B">
      <w:pPr>
        <w:pStyle w:val="Eivli"/>
      </w:pPr>
    </w:p>
    <w:p w14:paraId="5974DF01" w14:textId="12D50150" w:rsidR="0065696B" w:rsidRPr="0065696B" w:rsidRDefault="0065696B" w:rsidP="0065696B">
      <w:pPr>
        <w:pStyle w:val="Eivli"/>
      </w:pPr>
      <w:r w:rsidRPr="0065696B">
        <w:t>Säteilyvaaratilanteessa ja vallitsevassa altistustilanteessa suojelutoimien oikeutuksen arvioinnissa ja suojelun optimoinnissa on huomioitava työperäinen altistus ja väestön altistus ennen suojelutoimia, toimien aikana ja niiden jälkeen.</w:t>
      </w:r>
    </w:p>
    <w:p w14:paraId="739C139C" w14:textId="77777777" w:rsidR="0065696B" w:rsidRPr="0065696B" w:rsidRDefault="0065696B" w:rsidP="0065696B">
      <w:pPr>
        <w:pStyle w:val="Eivli"/>
      </w:pPr>
    </w:p>
    <w:p w14:paraId="7EE1955B" w14:textId="45A9373D" w:rsidR="002D3AAC" w:rsidRDefault="0065696B" w:rsidP="0065696B">
      <w:pPr>
        <w:pStyle w:val="Eivli"/>
      </w:pPr>
      <w:r w:rsidRPr="0065696B">
        <w:t>Edellä 1 ja 3 momentissa tarkoitetussa oikeutuksen arvioinnissa ja suojelun optimoinnissa on huomioitava myös syntyvät jätteet sekä niiden jätehuollossa aiheutuvat altistukset.</w:t>
      </w:r>
    </w:p>
    <w:p w14:paraId="7EE1955C" w14:textId="77777777" w:rsidR="002D3AAC" w:rsidRDefault="002D3AAC" w:rsidP="002D3AAC">
      <w:pPr>
        <w:pStyle w:val="Eivli"/>
      </w:pPr>
    </w:p>
    <w:p w14:paraId="5D4472E6" w14:textId="37F3B52F" w:rsidR="0065696B" w:rsidRDefault="0065696B" w:rsidP="002D3AAC">
      <w:pPr>
        <w:pStyle w:val="Eivli"/>
      </w:pPr>
    </w:p>
    <w:p w14:paraId="50070265" w14:textId="1C868966" w:rsidR="0065696B" w:rsidRDefault="00C66DC3" w:rsidP="0065696B">
      <w:pPr>
        <w:pStyle w:val="Eivli"/>
        <w:jc w:val="center"/>
      </w:pPr>
      <w:r>
        <w:t>4</w:t>
      </w:r>
      <w:r w:rsidR="00A6711B">
        <w:t xml:space="preserve"> </w:t>
      </w:r>
      <w:r w:rsidR="0065696B">
        <w:t>§</w:t>
      </w:r>
    </w:p>
    <w:p w14:paraId="4598FCF8" w14:textId="01D2A534" w:rsidR="0065696B" w:rsidRDefault="0065696B" w:rsidP="0065696B">
      <w:pPr>
        <w:pStyle w:val="Eivli"/>
        <w:jc w:val="center"/>
      </w:pPr>
      <w:r>
        <w:rPr>
          <w:i/>
        </w:rPr>
        <w:t>Kokonaishyödyn arviointi</w:t>
      </w:r>
    </w:p>
    <w:p w14:paraId="091879B6" w14:textId="77777777" w:rsidR="0065696B" w:rsidRDefault="0065696B" w:rsidP="0065696B">
      <w:pPr>
        <w:pStyle w:val="Eivli"/>
      </w:pPr>
    </w:p>
    <w:p w14:paraId="715DE047" w14:textId="0C9A2E54" w:rsidR="00951CCD" w:rsidRDefault="00951CCD" w:rsidP="0065696B">
      <w:pPr>
        <w:pStyle w:val="Eivli"/>
      </w:pPr>
      <w:r w:rsidRPr="00A6711B">
        <w:t xml:space="preserve">Säteilylain </w:t>
      </w:r>
      <w:r w:rsidR="00A6711B" w:rsidRPr="00DE3DA4">
        <w:t xml:space="preserve">5 </w:t>
      </w:r>
      <w:r w:rsidRPr="00DE3DA4">
        <w:t>§:ssä</w:t>
      </w:r>
      <w:r w:rsidRPr="00951CCD">
        <w:t xml:space="preserve"> tarkoitettua kokonaishyötyä arvioitaessa on huomioitava </w:t>
      </w:r>
      <w:r w:rsidR="00DE3DA4">
        <w:t xml:space="preserve">altistuvalle </w:t>
      </w:r>
      <w:r w:rsidRPr="00951CCD">
        <w:t>yksilölle</w:t>
      </w:r>
      <w:r w:rsidR="00DE3DA4">
        <w:t xml:space="preserve"> koituva terveydellinen hyöty</w:t>
      </w:r>
      <w:r w:rsidRPr="00951CCD">
        <w:t xml:space="preserve"> ja yhteiskunnalle koituvat hyödyt.</w:t>
      </w:r>
    </w:p>
    <w:p w14:paraId="64FC2BCC" w14:textId="77777777" w:rsidR="00951CCD" w:rsidRDefault="00951CCD" w:rsidP="0065696B">
      <w:pPr>
        <w:pStyle w:val="Eivli"/>
      </w:pPr>
    </w:p>
    <w:p w14:paraId="0B01E8FB" w14:textId="3971FCCE" w:rsidR="0065696B" w:rsidRPr="0065696B" w:rsidRDefault="00951CCD" w:rsidP="0065696B">
      <w:pPr>
        <w:pStyle w:val="Eivli"/>
      </w:pPr>
      <w:r w:rsidRPr="00951CCD">
        <w:t>Haittoja arvioitaessa on huomioitava säteilyaltistus ja siitä aiheutuvat terveyshaitat, haitat ympäristölle ja omaisuudelle sekä yhteiskunnan toimivuudelle aiheutuvat haitat.</w:t>
      </w:r>
    </w:p>
    <w:p w14:paraId="25471CAC" w14:textId="77777777" w:rsidR="0065696B" w:rsidRDefault="0065696B" w:rsidP="002D3AAC">
      <w:pPr>
        <w:pStyle w:val="Eivli"/>
      </w:pPr>
    </w:p>
    <w:p w14:paraId="39291D75" w14:textId="534DD03A" w:rsidR="00951CCD" w:rsidRDefault="00951CCD" w:rsidP="002D3AAC">
      <w:pPr>
        <w:pStyle w:val="Eivli"/>
      </w:pPr>
    </w:p>
    <w:p w14:paraId="1D72AC6F" w14:textId="5392DE14" w:rsidR="00951CCD" w:rsidRDefault="00C66DC3" w:rsidP="00951CCD">
      <w:pPr>
        <w:pStyle w:val="Eivli"/>
        <w:jc w:val="center"/>
      </w:pPr>
      <w:r>
        <w:t xml:space="preserve">5 </w:t>
      </w:r>
      <w:r w:rsidR="00951CCD">
        <w:t>§</w:t>
      </w:r>
    </w:p>
    <w:p w14:paraId="586C3EC1" w14:textId="6A9F842F" w:rsidR="00951CCD" w:rsidRDefault="00951CCD" w:rsidP="00951CCD">
      <w:pPr>
        <w:pStyle w:val="Eivli"/>
        <w:jc w:val="center"/>
        <w:rPr>
          <w:i/>
        </w:rPr>
      </w:pPr>
      <w:r>
        <w:rPr>
          <w:i/>
        </w:rPr>
        <w:t>Lääketieteellisen altistuksen yksilökohtainen oikeutusharkinta</w:t>
      </w:r>
    </w:p>
    <w:p w14:paraId="638CA151" w14:textId="77777777" w:rsidR="00951CCD" w:rsidRDefault="00951CCD" w:rsidP="00951CCD">
      <w:pPr>
        <w:pStyle w:val="Eivli"/>
      </w:pPr>
    </w:p>
    <w:p w14:paraId="49D54972" w14:textId="04D5F693" w:rsidR="00951CCD" w:rsidRDefault="00E248AA" w:rsidP="00951CCD">
      <w:pPr>
        <w:pStyle w:val="Eivli"/>
      </w:pPr>
      <w:r>
        <w:t>T</w:t>
      </w:r>
      <w:r w:rsidR="00951CCD" w:rsidRPr="00951CCD">
        <w:t>utkimukse</w:t>
      </w:r>
      <w:r>
        <w:t>sta</w:t>
      </w:r>
      <w:r w:rsidR="00951CCD" w:rsidRPr="00951CCD">
        <w:t>, toimenpitee</w:t>
      </w:r>
      <w:r>
        <w:t>stä</w:t>
      </w:r>
      <w:r w:rsidR="00951CCD" w:rsidRPr="00951CCD">
        <w:t xml:space="preserve"> ja hoido</w:t>
      </w:r>
      <w:r>
        <w:t>sta</w:t>
      </w:r>
      <w:r w:rsidR="009365E0">
        <w:t xml:space="preserve"> </w:t>
      </w:r>
      <w:r>
        <w:t>aiheutuvan</w:t>
      </w:r>
      <w:r w:rsidR="00951CCD" w:rsidRPr="00951CCD">
        <w:t xml:space="preserve"> </w:t>
      </w:r>
      <w:r>
        <w:t xml:space="preserve">lääketieteellisen altistuksen </w:t>
      </w:r>
      <w:r w:rsidR="00951CCD" w:rsidRPr="00951CCD">
        <w:t>oikeutus on arvioitava etukäteen. Arvioinnissa on otettava huomioon tutkimuksen, toimenpiteen ja hoidon tarkoitus ja erityiset tavoitteet sekä kohteena olevan henkilön ominaisuudet. Hyötyjen ja haittojen arvioinnissa on otettava huomioon käytettävissä olevat vaihtoehtoiset menetelmät tutkimuksen, toimenpiteen tai hoidon tarkoituksen saavuttamiseksi sekä näiden menetelmien tehokkuus, edut ja riskitekijät.</w:t>
      </w:r>
    </w:p>
    <w:p w14:paraId="54392907" w14:textId="77777777" w:rsidR="00951CCD" w:rsidRPr="00951CCD" w:rsidRDefault="00951CCD" w:rsidP="00951CCD">
      <w:pPr>
        <w:pStyle w:val="Eivli"/>
      </w:pPr>
    </w:p>
    <w:p w14:paraId="049EEDBF" w14:textId="58886B45" w:rsidR="00951CCD" w:rsidRDefault="00951CCD" w:rsidP="00951CCD">
      <w:pPr>
        <w:pStyle w:val="Eivli"/>
      </w:pPr>
      <w:r w:rsidRPr="00951CCD">
        <w:t xml:space="preserve">Tieteellistä tutkimusta koskevassa tutkimussuunnitelmassa on arvioitava </w:t>
      </w:r>
      <w:r w:rsidR="002A1FE6" w:rsidRPr="00951CCD">
        <w:t>tutkittav</w:t>
      </w:r>
      <w:r w:rsidR="002A1FE6">
        <w:t>a</w:t>
      </w:r>
      <w:r w:rsidR="002A1FE6" w:rsidRPr="00951CCD">
        <w:t xml:space="preserve">lle </w:t>
      </w:r>
      <w:r w:rsidRPr="00951CCD">
        <w:t xml:space="preserve">aiheutuva </w:t>
      </w:r>
      <w:r w:rsidR="00477072">
        <w:t xml:space="preserve">lääketieteellinen </w:t>
      </w:r>
      <w:r w:rsidR="00477072" w:rsidRPr="00951CCD">
        <w:t>altistus</w:t>
      </w:r>
      <w:r w:rsidRPr="00951CCD">
        <w:t xml:space="preserve"> ja perusteltava sen oikeutus.</w:t>
      </w:r>
    </w:p>
    <w:p w14:paraId="5D21860F" w14:textId="77777777" w:rsidR="00855F16" w:rsidRDefault="00855F16" w:rsidP="002D3AAC">
      <w:pPr>
        <w:pStyle w:val="Eivli"/>
      </w:pPr>
    </w:p>
    <w:p w14:paraId="3B5CC7C3" w14:textId="77777777" w:rsidR="001D57E2" w:rsidRDefault="001D57E2" w:rsidP="002D3AAC">
      <w:pPr>
        <w:pStyle w:val="Eivli"/>
      </w:pPr>
    </w:p>
    <w:p w14:paraId="3E707A8B" w14:textId="3A8D61CD" w:rsidR="001F1CA7" w:rsidRDefault="00C66DC3" w:rsidP="00BB204E">
      <w:pPr>
        <w:pStyle w:val="Eivli"/>
        <w:jc w:val="center"/>
      </w:pPr>
      <w:r>
        <w:t xml:space="preserve">6 </w:t>
      </w:r>
      <w:r w:rsidR="00566484">
        <w:t>§</w:t>
      </w:r>
    </w:p>
    <w:p w14:paraId="5AD5D640" w14:textId="44E50AB7" w:rsidR="005B3F23" w:rsidRPr="00CE7CFF" w:rsidRDefault="00566484" w:rsidP="00BB204E">
      <w:pPr>
        <w:pStyle w:val="Eivli"/>
        <w:jc w:val="center"/>
        <w:rPr>
          <w:i/>
        </w:rPr>
      </w:pPr>
      <w:r w:rsidRPr="00CE7CFF">
        <w:rPr>
          <w:i/>
        </w:rPr>
        <w:t xml:space="preserve">Oikeutus </w:t>
      </w:r>
      <w:r w:rsidR="001D699C">
        <w:rPr>
          <w:i/>
        </w:rPr>
        <w:t>h</w:t>
      </w:r>
      <w:r w:rsidR="001D699C" w:rsidRPr="001D699C">
        <w:rPr>
          <w:i/>
        </w:rPr>
        <w:t>enkilön kuvantamisesta aiheutuva</w:t>
      </w:r>
      <w:r w:rsidR="001D699C">
        <w:rPr>
          <w:i/>
        </w:rPr>
        <w:t>ssa muussa kuin lääketieteellisessä</w:t>
      </w:r>
      <w:r w:rsidR="001D699C" w:rsidRPr="001D699C">
        <w:rPr>
          <w:i/>
        </w:rPr>
        <w:t xml:space="preserve"> altistu</w:t>
      </w:r>
      <w:r w:rsidR="001D699C">
        <w:rPr>
          <w:i/>
        </w:rPr>
        <w:t>ksessa</w:t>
      </w:r>
    </w:p>
    <w:p w14:paraId="50344A1C" w14:textId="77777777" w:rsidR="00566484" w:rsidRDefault="00566484" w:rsidP="00CE7CFF">
      <w:pPr>
        <w:pStyle w:val="Eivli"/>
      </w:pPr>
    </w:p>
    <w:p w14:paraId="6EE5CD88" w14:textId="3E56264C" w:rsidR="00882523" w:rsidRDefault="00882523" w:rsidP="00CE7CFF">
      <w:pPr>
        <w:pStyle w:val="Eivli"/>
      </w:pPr>
      <w:r w:rsidRPr="00882523">
        <w:t>Säteilylain 14 luvussa tarkoitettuun altistukseen käytettävän menetelmän ja yksittäisen sovelluksen oikeutu</w:t>
      </w:r>
      <w:r w:rsidR="00D612B9">
        <w:t>s on perusteltava. P</w:t>
      </w:r>
      <w:r w:rsidRPr="00882523">
        <w:t xml:space="preserve">erustelussa on otettava huomioon sen lisäksi, mitä </w:t>
      </w:r>
      <w:r w:rsidR="000742DC" w:rsidRPr="00063A5E">
        <w:t xml:space="preserve">5 </w:t>
      </w:r>
      <w:r w:rsidRPr="00063A5E">
        <w:t>§:ssä</w:t>
      </w:r>
      <w:r w:rsidRPr="00882523">
        <w:t xml:space="preserve"> säädetään, yhteiskunnalliset arvot ja eettiset näkökohdat.</w:t>
      </w:r>
    </w:p>
    <w:p w14:paraId="29A70EAC" w14:textId="77777777" w:rsidR="00882523" w:rsidRDefault="00882523" w:rsidP="00CE7CFF">
      <w:pPr>
        <w:pStyle w:val="Eivli"/>
      </w:pPr>
    </w:p>
    <w:p w14:paraId="23594F5D" w14:textId="77777777" w:rsidR="001D57E2" w:rsidRDefault="001D57E2" w:rsidP="00CE7CFF">
      <w:pPr>
        <w:pStyle w:val="Eivli"/>
      </w:pPr>
    </w:p>
    <w:p w14:paraId="40B88770" w14:textId="22E27179" w:rsidR="00566484" w:rsidRDefault="00C66DC3" w:rsidP="00BB204E">
      <w:pPr>
        <w:pStyle w:val="Eivli"/>
        <w:jc w:val="center"/>
      </w:pPr>
      <w:r>
        <w:t xml:space="preserve">7 </w:t>
      </w:r>
      <w:r w:rsidR="00566484">
        <w:t>§</w:t>
      </w:r>
    </w:p>
    <w:p w14:paraId="6C016A76" w14:textId="0B5BE856" w:rsidR="00566484" w:rsidRPr="00CE7CFF" w:rsidRDefault="004D3EC6" w:rsidP="00BB204E">
      <w:pPr>
        <w:pStyle w:val="Eivli"/>
        <w:jc w:val="center"/>
        <w:rPr>
          <w:i/>
        </w:rPr>
      </w:pPr>
      <w:r>
        <w:rPr>
          <w:i/>
        </w:rPr>
        <w:t>Kulutustavaroiden oikeutus</w:t>
      </w:r>
    </w:p>
    <w:p w14:paraId="27F24511" w14:textId="77777777" w:rsidR="00566484" w:rsidRDefault="00566484" w:rsidP="00CE7CFF">
      <w:pPr>
        <w:pStyle w:val="Eivli"/>
      </w:pPr>
    </w:p>
    <w:p w14:paraId="45B0FF08" w14:textId="7A58CF8D" w:rsidR="00CE7CFF" w:rsidRDefault="00E248AA" w:rsidP="00CE7CFF">
      <w:pPr>
        <w:pStyle w:val="Eivli"/>
      </w:pPr>
      <w:r>
        <w:t>I</w:t>
      </w:r>
      <w:r w:rsidR="00882523" w:rsidRPr="00882523">
        <w:t>onisoivalle säteilylle</w:t>
      </w:r>
      <w:r>
        <w:t xml:space="preserve"> altistusta</w:t>
      </w:r>
      <w:r w:rsidR="00882523" w:rsidRPr="00882523">
        <w:t xml:space="preserve"> aiheuttavi</w:t>
      </w:r>
      <w:r>
        <w:t>e</w:t>
      </w:r>
      <w:r w:rsidR="00882523" w:rsidRPr="00882523">
        <w:t>n kulutustavaroi</w:t>
      </w:r>
      <w:r>
        <w:t xml:space="preserve">den </w:t>
      </w:r>
      <w:r w:rsidR="00132532">
        <w:t>valmistuksen</w:t>
      </w:r>
      <w:r w:rsidR="00BA215C">
        <w:t>,</w:t>
      </w:r>
      <w:r w:rsidR="00132532">
        <w:t xml:space="preserve"> tuonnin </w:t>
      </w:r>
      <w:r>
        <w:t>ja siirron</w:t>
      </w:r>
      <w:r w:rsidR="00882523" w:rsidRPr="00882523">
        <w:t xml:space="preserve"> oikeutuksen arvioinnissa on tarkasteltava:</w:t>
      </w:r>
    </w:p>
    <w:p w14:paraId="4995E1DE" w14:textId="1CCE6A6B" w:rsidR="00CE7CFF" w:rsidRDefault="00882523" w:rsidP="00624C57">
      <w:pPr>
        <w:pStyle w:val="Eivli"/>
        <w:numPr>
          <w:ilvl w:val="0"/>
          <w:numId w:val="38"/>
        </w:numPr>
      </w:pPr>
      <w:r w:rsidRPr="00882523">
        <w:t>kulutustavaran ominaisuuksien ja suorituskyvyn soveltuvuutta aiottuun käyttötarkoitukseen</w:t>
      </w:r>
      <w:r w:rsidR="00457139">
        <w:t>sa</w:t>
      </w:r>
      <w:r w:rsidRPr="00882523">
        <w:t>;</w:t>
      </w:r>
    </w:p>
    <w:p w14:paraId="30FE064A" w14:textId="37116B54" w:rsidR="00CE7CFF" w:rsidRDefault="00882523" w:rsidP="00624C57">
      <w:pPr>
        <w:pStyle w:val="Eivli"/>
        <w:numPr>
          <w:ilvl w:val="0"/>
          <w:numId w:val="38"/>
        </w:numPr>
      </w:pPr>
      <w:r w:rsidRPr="00882523">
        <w:t>kulutustavaran rakennetta ja teknisiä ominaisuuksia, joiden avulla tavaran aiheuttama altistus ja potentiaalinen altistus on mahdollisimman pieni tavanomaisessa käytössä ja mahdollisessa väärinkäytössä;</w:t>
      </w:r>
    </w:p>
    <w:p w14:paraId="0C86A1A9" w14:textId="4A9A4578" w:rsidR="00CE7CFF" w:rsidRDefault="00882523" w:rsidP="00624C57">
      <w:pPr>
        <w:pStyle w:val="Eivli"/>
        <w:numPr>
          <w:ilvl w:val="0"/>
          <w:numId w:val="38"/>
        </w:numPr>
      </w:pPr>
      <w:r w:rsidRPr="00882523">
        <w:t xml:space="preserve">kulutustavaran käyttöä koskevan turvallisuusluvan tarvetta </w:t>
      </w:r>
      <w:r w:rsidR="00B6560A">
        <w:t>ja mahdollista turvallisuusluvasta vapauttamista</w:t>
      </w:r>
      <w:r w:rsidRPr="00882523">
        <w:t>;</w:t>
      </w:r>
    </w:p>
    <w:p w14:paraId="5A1C97ED" w14:textId="77777777" w:rsidR="00CE7CFF" w:rsidRDefault="00882523" w:rsidP="00624C57">
      <w:pPr>
        <w:pStyle w:val="Eivli"/>
        <w:numPr>
          <w:ilvl w:val="0"/>
          <w:numId w:val="38"/>
        </w:numPr>
      </w:pPr>
      <w:r w:rsidRPr="00882523">
        <w:t>kulutustavaran mahdollista tyyppihyväksyntää ja se saannin edellytyksenä olleita vaatimuksia;</w:t>
      </w:r>
    </w:p>
    <w:p w14:paraId="42D94AD0" w14:textId="77777777" w:rsidR="00CE7CFF" w:rsidRDefault="00882523" w:rsidP="00624C57">
      <w:pPr>
        <w:pStyle w:val="Eivli"/>
        <w:numPr>
          <w:ilvl w:val="0"/>
          <w:numId w:val="38"/>
        </w:numPr>
      </w:pPr>
      <w:r w:rsidRPr="00882523">
        <w:t>tarvetta edellyttää kulutustavarasta syntyvän radioaktiivisen jätteen vaarattomaksi tekemistä;</w:t>
      </w:r>
    </w:p>
    <w:p w14:paraId="61931E6F" w14:textId="77777777" w:rsidR="00CE7CFF" w:rsidRDefault="00882523" w:rsidP="00624C57">
      <w:pPr>
        <w:pStyle w:val="Eivli"/>
        <w:numPr>
          <w:ilvl w:val="0"/>
          <w:numId w:val="38"/>
        </w:numPr>
      </w:pPr>
      <w:r w:rsidRPr="00882523">
        <w:t>kulutustavaran merkintöjen asianmukaisuutta;</w:t>
      </w:r>
    </w:p>
    <w:p w14:paraId="65B67B2A" w14:textId="5BB7007C" w:rsidR="00882523" w:rsidRDefault="00882523" w:rsidP="00624C57">
      <w:pPr>
        <w:pStyle w:val="Eivli"/>
        <w:numPr>
          <w:ilvl w:val="0"/>
          <w:numId w:val="38"/>
        </w:numPr>
      </w:pPr>
      <w:r w:rsidRPr="00882523">
        <w:t>kuluttajalle toimitettavia tietoja ja ohjeita kulutustavaran turvalliseen ja asianmukaiseen käyttöön ja radioaktiivisen jätteen vaarattomaksi tekemiseen.</w:t>
      </w:r>
    </w:p>
    <w:p w14:paraId="7D9E45F9" w14:textId="77777777" w:rsidR="00882523" w:rsidRDefault="00882523" w:rsidP="00882523">
      <w:pPr>
        <w:pStyle w:val="Eivli"/>
      </w:pPr>
    </w:p>
    <w:p w14:paraId="45C4868D" w14:textId="77777777" w:rsidR="00882523" w:rsidRDefault="00882523" w:rsidP="00CE7CFF">
      <w:pPr>
        <w:pStyle w:val="Eivli"/>
      </w:pPr>
    </w:p>
    <w:p w14:paraId="30044B8F" w14:textId="27669482" w:rsidR="00566484" w:rsidRDefault="00C66DC3" w:rsidP="00BB204E">
      <w:pPr>
        <w:pStyle w:val="Eivli"/>
        <w:jc w:val="center"/>
      </w:pPr>
      <w:r>
        <w:t xml:space="preserve">8 </w:t>
      </w:r>
      <w:r w:rsidR="00566484">
        <w:t>§</w:t>
      </w:r>
    </w:p>
    <w:p w14:paraId="30469B35" w14:textId="7426721A" w:rsidR="00566484" w:rsidRPr="00882523" w:rsidRDefault="00BB204E" w:rsidP="00BB204E">
      <w:pPr>
        <w:pStyle w:val="Eivli"/>
        <w:jc w:val="center"/>
        <w:rPr>
          <w:i/>
        </w:rPr>
      </w:pPr>
      <w:r w:rsidRPr="00882523">
        <w:rPr>
          <w:i/>
        </w:rPr>
        <w:t>Lausunnot toiminnan oikeutuksesta</w:t>
      </w:r>
    </w:p>
    <w:p w14:paraId="01F43DAB" w14:textId="77777777" w:rsidR="00BB204E" w:rsidRDefault="00BB204E" w:rsidP="00882523">
      <w:pPr>
        <w:pStyle w:val="Eivli"/>
      </w:pPr>
    </w:p>
    <w:p w14:paraId="6234185B" w14:textId="7F349E45" w:rsidR="00882523" w:rsidRPr="00882523" w:rsidRDefault="00882523" w:rsidP="00882523">
      <w:pPr>
        <w:pStyle w:val="Eivli"/>
      </w:pPr>
      <w:r w:rsidRPr="00882523">
        <w:t xml:space="preserve">Osana säteilylain </w:t>
      </w:r>
      <w:r w:rsidR="009B2985">
        <w:t>24</w:t>
      </w:r>
      <w:r w:rsidRPr="00882523">
        <w:t xml:space="preserve"> §:</w:t>
      </w:r>
      <w:r w:rsidR="009B2985">
        <w:t>ssä</w:t>
      </w:r>
      <w:r w:rsidRPr="00882523">
        <w:t xml:space="preserve"> tarkoitettua uuden tyyppisen säteilytoiminnan oikeutuksen arviointia </w:t>
      </w:r>
      <w:r w:rsidR="003914D6">
        <w:t>Säteilyturvakeskus</w:t>
      </w:r>
      <w:r w:rsidR="003914D6" w:rsidRPr="00882523">
        <w:t xml:space="preserve"> </w:t>
      </w:r>
      <w:r w:rsidRPr="00882523">
        <w:t>pyytää lausunnon</w:t>
      </w:r>
      <w:r>
        <w:t>,</w:t>
      </w:r>
      <w:r w:rsidRPr="00882523">
        <w:t xml:space="preserve"> jollei se ole asian ratkaisemisen kannalta selvästi tarpeetonta:</w:t>
      </w:r>
    </w:p>
    <w:p w14:paraId="0397367A" w14:textId="7BFEF009" w:rsidR="00882523" w:rsidRPr="00882523" w:rsidRDefault="00882523" w:rsidP="00624C57">
      <w:pPr>
        <w:pStyle w:val="Eivli"/>
        <w:numPr>
          <w:ilvl w:val="0"/>
          <w:numId w:val="35"/>
        </w:numPr>
      </w:pPr>
      <w:r w:rsidRPr="00882523">
        <w:t>säteilyturva</w:t>
      </w:r>
      <w:r w:rsidR="00250947">
        <w:t>llisuus</w:t>
      </w:r>
      <w:r w:rsidRPr="00882523">
        <w:t>neuvottelukunnalta;</w:t>
      </w:r>
    </w:p>
    <w:p w14:paraId="5B118A82" w14:textId="77777777" w:rsidR="00882523" w:rsidRPr="00882523" w:rsidRDefault="00882523" w:rsidP="00624C57">
      <w:pPr>
        <w:pStyle w:val="Eivli"/>
        <w:numPr>
          <w:ilvl w:val="0"/>
          <w:numId w:val="35"/>
        </w:numPr>
      </w:pPr>
      <w:r w:rsidRPr="00882523">
        <w:t>tietosuojavaltuutetulta, jos toimintaan liittyy yksilönsuojaan tai tietosuojaan liittyviä tekijöitä;</w:t>
      </w:r>
    </w:p>
    <w:p w14:paraId="4AFB932A" w14:textId="77777777" w:rsidR="00882523" w:rsidRPr="00882523" w:rsidRDefault="00882523" w:rsidP="00624C57">
      <w:pPr>
        <w:pStyle w:val="Eivli"/>
        <w:numPr>
          <w:ilvl w:val="0"/>
          <w:numId w:val="35"/>
        </w:numPr>
      </w:pPr>
      <w:r w:rsidRPr="00882523">
        <w:t>tarpeen mukaan keskeisiltä sidosryhmiltä, joihin aiotulla toiminnalla voi olla vaikutuksia.</w:t>
      </w:r>
    </w:p>
    <w:p w14:paraId="3049885A" w14:textId="77777777" w:rsidR="00882523" w:rsidRPr="00882523" w:rsidRDefault="00882523" w:rsidP="00882523">
      <w:pPr>
        <w:pStyle w:val="Eivli"/>
      </w:pPr>
    </w:p>
    <w:p w14:paraId="435DD678" w14:textId="79627947" w:rsidR="00882523" w:rsidRDefault="00882523" w:rsidP="00882523">
      <w:pPr>
        <w:pStyle w:val="Eivli"/>
      </w:pPr>
      <w:r w:rsidRPr="00882523">
        <w:t xml:space="preserve">Toiminnanharjoittajan on huolehdittava siitä, että </w:t>
      </w:r>
      <w:r w:rsidR="003914D6">
        <w:t>Säteilyturvakeskuksella</w:t>
      </w:r>
      <w:r w:rsidR="003914D6" w:rsidRPr="00882523">
        <w:t xml:space="preserve"> </w:t>
      </w:r>
      <w:r w:rsidRPr="00882523">
        <w:t xml:space="preserve">on </w:t>
      </w:r>
      <w:r w:rsidR="009B2985">
        <w:t xml:space="preserve">säteilylain 24 §:ssä tarkoitettua </w:t>
      </w:r>
      <w:r w:rsidRPr="00882523">
        <w:t xml:space="preserve">oikeutuksen arviointia varten käytettävissä </w:t>
      </w:r>
      <w:r>
        <w:t>kannanotto:</w:t>
      </w:r>
    </w:p>
    <w:p w14:paraId="5A9F7EAF" w14:textId="77777777" w:rsidR="00882523" w:rsidRDefault="00882523" w:rsidP="00624C57">
      <w:pPr>
        <w:pStyle w:val="Eivli"/>
        <w:numPr>
          <w:ilvl w:val="0"/>
          <w:numId w:val="36"/>
        </w:numPr>
      </w:pPr>
      <w:r w:rsidRPr="00882523">
        <w:t>lääketieteellisestä tutkimuksesta annetussa laissa (488/1999) tarkoitetulta eettiseltä toimikunnalta, jos säteilyä kohdistetaan tarkoituksellisesti ihmiseen;</w:t>
      </w:r>
    </w:p>
    <w:p w14:paraId="6E61BF2B" w14:textId="67E748DE" w:rsidR="00882523" w:rsidRDefault="00365552" w:rsidP="00624C57">
      <w:pPr>
        <w:pStyle w:val="Eivli"/>
        <w:numPr>
          <w:ilvl w:val="0"/>
          <w:numId w:val="36"/>
        </w:numPr>
      </w:pPr>
      <w:r>
        <w:lastRenderedPageBreak/>
        <w:t>v</w:t>
      </w:r>
      <w:r w:rsidR="00C40F3D">
        <w:t>iranomaiselta</w:t>
      </w:r>
      <w:r>
        <w:t xml:space="preserve"> </w:t>
      </w:r>
      <w:r w:rsidR="00C40F3D">
        <w:t>[vielä avoin]</w:t>
      </w:r>
      <w:r w:rsidR="00882523" w:rsidRPr="00882523">
        <w:t xml:space="preserve"> terveydenhuollon </w:t>
      </w:r>
      <w:r w:rsidR="00BF638E" w:rsidRPr="00882523">
        <w:t>menetelm</w:t>
      </w:r>
      <w:r w:rsidR="00BF638E">
        <w:t>ä</w:t>
      </w:r>
      <w:r w:rsidR="00BF638E" w:rsidRPr="00882523">
        <w:t xml:space="preserve">n </w:t>
      </w:r>
      <w:r w:rsidR="00882523" w:rsidRPr="00882523">
        <w:t xml:space="preserve">arvioinnista, jos kyseessä on </w:t>
      </w:r>
      <w:r w:rsidR="008F34D5">
        <w:t xml:space="preserve">uuden tyyppinen </w:t>
      </w:r>
      <w:r w:rsidR="003A246D">
        <w:t xml:space="preserve">lääketieteellistä altistusta aiheuttava menetelmä, jolla altistetaan </w:t>
      </w:r>
      <w:r w:rsidR="00882523" w:rsidRPr="00882523">
        <w:t>laajaa väestön osaa</w:t>
      </w:r>
      <w:r w:rsidR="00BF638E">
        <w:t>,</w:t>
      </w:r>
      <w:r w:rsidR="009B2985">
        <w:t xml:space="preserve"> </w:t>
      </w:r>
      <w:r w:rsidR="003A246D">
        <w:t>tai</w:t>
      </w:r>
      <w:r w:rsidR="00BF638E">
        <w:t xml:space="preserve"> joka</w:t>
      </w:r>
      <w:r w:rsidR="00882523" w:rsidRPr="00882523">
        <w:t xml:space="preserve"> aiheuttaa suurta </w:t>
      </w:r>
      <w:r w:rsidR="002F0877">
        <w:t xml:space="preserve">lääketieteellistä </w:t>
      </w:r>
      <w:r w:rsidR="00882523" w:rsidRPr="00882523">
        <w:t>altistusta</w:t>
      </w:r>
      <w:r w:rsidR="003914D6">
        <w:t xml:space="preserve"> </w:t>
      </w:r>
      <w:r w:rsidR="003A246D">
        <w:t>tu</w:t>
      </w:r>
      <w:r w:rsidR="00CE0CBA">
        <w:t>t</w:t>
      </w:r>
      <w:r w:rsidR="003A246D">
        <w:t>kittavalle, toimenpiteen kohteena olevalle tai hoidettavalle</w:t>
      </w:r>
      <w:r w:rsidR="00250947">
        <w:t>.</w:t>
      </w:r>
    </w:p>
    <w:p w14:paraId="31F56940" w14:textId="77777777" w:rsidR="0075430B" w:rsidRDefault="0075430B" w:rsidP="00882523">
      <w:pPr>
        <w:pStyle w:val="Eivli"/>
      </w:pPr>
    </w:p>
    <w:p w14:paraId="408B735B" w14:textId="664F8B7C" w:rsidR="00882523" w:rsidRDefault="0075430B" w:rsidP="00882523">
      <w:pPr>
        <w:pStyle w:val="Eivli"/>
      </w:pPr>
      <w:r>
        <w:t>Eetti</w:t>
      </w:r>
      <w:r w:rsidR="00F127B5">
        <w:t>nen toimikunta</w:t>
      </w:r>
      <w:r>
        <w:t xml:space="preserve"> </w:t>
      </w:r>
      <w:r w:rsidR="00F127B5">
        <w:t xml:space="preserve">kuulee säteilyn lääketieteellisen käytön asiantuntijoita </w:t>
      </w:r>
      <w:r w:rsidR="00882523" w:rsidRPr="00882523">
        <w:t>2 momentin 1 kohdassa tarkoite</w:t>
      </w:r>
      <w:r w:rsidR="00F127B5">
        <w:t>tussa asiassa.</w:t>
      </w:r>
    </w:p>
    <w:p w14:paraId="5DE99D97" w14:textId="77777777" w:rsidR="00A946E2" w:rsidRDefault="00A946E2" w:rsidP="00882523">
      <w:pPr>
        <w:pStyle w:val="Eivli"/>
      </w:pPr>
    </w:p>
    <w:p w14:paraId="63B6EBD0" w14:textId="77777777" w:rsidR="001D57E2" w:rsidRDefault="001D57E2" w:rsidP="00882523">
      <w:pPr>
        <w:pStyle w:val="Eivli"/>
      </w:pPr>
    </w:p>
    <w:p w14:paraId="11EE8418" w14:textId="4457FE72" w:rsidR="00BB204E" w:rsidRDefault="00C66DC3" w:rsidP="00BB204E">
      <w:pPr>
        <w:pStyle w:val="Eivli"/>
        <w:jc w:val="center"/>
      </w:pPr>
      <w:r>
        <w:t xml:space="preserve">9 </w:t>
      </w:r>
      <w:r w:rsidR="00BB204E">
        <w:t>§</w:t>
      </w:r>
    </w:p>
    <w:p w14:paraId="064E3E54" w14:textId="609ED596" w:rsidR="00BB204E" w:rsidRPr="00CE7CFF" w:rsidRDefault="00BB204E" w:rsidP="00BB204E">
      <w:pPr>
        <w:pStyle w:val="Eivli"/>
        <w:jc w:val="center"/>
        <w:rPr>
          <w:i/>
        </w:rPr>
      </w:pPr>
      <w:r w:rsidRPr="00CE7CFF">
        <w:rPr>
          <w:i/>
        </w:rPr>
        <w:t>Altistuksen rajoittaminen suojelun optimoinnissa</w:t>
      </w:r>
    </w:p>
    <w:p w14:paraId="4874D76C" w14:textId="77777777" w:rsidR="00BB204E" w:rsidRDefault="00BB204E" w:rsidP="00CE7CFF">
      <w:pPr>
        <w:pStyle w:val="Eivli"/>
      </w:pPr>
    </w:p>
    <w:p w14:paraId="553844A2" w14:textId="6F429524" w:rsidR="00CE7CFF" w:rsidRDefault="00CE7CFF" w:rsidP="00CE7CFF">
      <w:pPr>
        <w:pStyle w:val="Eivli"/>
      </w:pPr>
      <w:r w:rsidRPr="00CE7CFF">
        <w:t xml:space="preserve">Säteilylain </w:t>
      </w:r>
      <w:r w:rsidR="002F0877" w:rsidRPr="0077703C">
        <w:t>6</w:t>
      </w:r>
      <w:r w:rsidRPr="0077703C">
        <w:t xml:space="preserve"> §:n 1 momentissa</w:t>
      </w:r>
      <w:r w:rsidRPr="00CE7CFF">
        <w:t xml:space="preserve"> tarkoitettu optimointi on toteutettava siten, että yksilön annosten suuruus, altistumisen todennäköisyys sekä altistuvien henkilöiden lukumäärä pidetään niin pienenä kuin on kohtuudella mahdollista ottaen huomioon teknisen tietämyksen taso sekä taloudelliset ja yhteiskunnalliset tekijät.</w:t>
      </w:r>
    </w:p>
    <w:p w14:paraId="29AE5D02" w14:textId="77777777" w:rsidR="00CE7CFF" w:rsidRDefault="00CE7CFF" w:rsidP="00CE7CFF">
      <w:pPr>
        <w:pStyle w:val="Eivli"/>
      </w:pPr>
    </w:p>
    <w:p w14:paraId="52C71756" w14:textId="1CA238CF" w:rsidR="00CE7CFF" w:rsidRPr="00CE7CFF" w:rsidRDefault="00CE7CFF" w:rsidP="00CE7CFF">
      <w:pPr>
        <w:pStyle w:val="Eivli"/>
      </w:pPr>
      <w:r w:rsidRPr="00CE7CFF">
        <w:t xml:space="preserve">Säteilylain </w:t>
      </w:r>
      <w:r w:rsidR="002F0877" w:rsidRPr="0077703C">
        <w:t>6</w:t>
      </w:r>
      <w:r w:rsidRPr="0077703C">
        <w:t xml:space="preserve"> §:n 2 momentissa</w:t>
      </w:r>
      <w:r w:rsidRPr="00CE7CFF">
        <w:t xml:space="preserve"> tarkoitetun lääketieteellisen altistuksen rajoittamiseksi altistuksen kohteena olevan henkilön tarpeetonta altistusta on vältettävä. Tässä tarkoituksessa on otettava huomioon:</w:t>
      </w:r>
    </w:p>
    <w:p w14:paraId="3AD72498" w14:textId="77777777" w:rsidR="00CE7CFF" w:rsidRPr="00CE7CFF" w:rsidRDefault="00CE7CFF" w:rsidP="00624C57">
      <w:pPr>
        <w:pStyle w:val="Eivli"/>
        <w:numPr>
          <w:ilvl w:val="0"/>
          <w:numId w:val="37"/>
        </w:numPr>
      </w:pPr>
      <w:r w:rsidRPr="00CE7CFF">
        <w:t>laitteiden valinta;</w:t>
      </w:r>
    </w:p>
    <w:p w14:paraId="6AA3B9B3" w14:textId="77777777" w:rsidR="00CE7CFF" w:rsidRPr="00CE7CFF" w:rsidRDefault="00CE7CFF" w:rsidP="00624C57">
      <w:pPr>
        <w:pStyle w:val="Eivli"/>
        <w:numPr>
          <w:ilvl w:val="0"/>
          <w:numId w:val="37"/>
        </w:numPr>
      </w:pPr>
      <w:r w:rsidRPr="00CE7CFF">
        <w:t>laitteiden suorituskykyyn vaikuttavien parametrien valinta;</w:t>
      </w:r>
    </w:p>
    <w:p w14:paraId="763E1977" w14:textId="559D9132" w:rsidR="00CE7CFF" w:rsidRDefault="00CE7CFF" w:rsidP="00624C57">
      <w:pPr>
        <w:pStyle w:val="Eivli"/>
        <w:numPr>
          <w:ilvl w:val="0"/>
          <w:numId w:val="37"/>
        </w:numPr>
      </w:pPr>
      <w:r w:rsidRPr="00CE7CFF">
        <w:t xml:space="preserve">potilasannoksen määrittäminen ja potilaalle annettavan </w:t>
      </w:r>
      <w:r w:rsidRPr="00CB1AE1">
        <w:t xml:space="preserve">radioaktiivisen </w:t>
      </w:r>
      <w:r w:rsidR="00CB1AE1" w:rsidRPr="00CB1AE1">
        <w:t>lääkkeen</w:t>
      </w:r>
      <w:r w:rsidR="00CB1AE1" w:rsidRPr="00CE7CFF">
        <w:t xml:space="preserve"> </w:t>
      </w:r>
      <w:r w:rsidRPr="00CE7CFF">
        <w:t>aktiivisuuden mittaaminen;</w:t>
      </w:r>
    </w:p>
    <w:p w14:paraId="19401798" w14:textId="4763F1B3" w:rsidR="00CE7CFF" w:rsidRDefault="00CE7CFF" w:rsidP="00624C57">
      <w:pPr>
        <w:pStyle w:val="Eivli"/>
        <w:numPr>
          <w:ilvl w:val="0"/>
          <w:numId w:val="37"/>
        </w:numPr>
      </w:pPr>
      <w:r w:rsidRPr="00CE7CFF">
        <w:t>laadunvarmistus.</w:t>
      </w:r>
    </w:p>
    <w:p w14:paraId="639D1354" w14:textId="77777777" w:rsidR="00CE7CFF" w:rsidRDefault="00CE7CFF" w:rsidP="00CE7CFF">
      <w:pPr>
        <w:pStyle w:val="Eivli"/>
      </w:pPr>
    </w:p>
    <w:p w14:paraId="472B5207" w14:textId="77777777" w:rsidR="00396E2A" w:rsidRDefault="00396E2A" w:rsidP="00CE7CFF">
      <w:pPr>
        <w:pStyle w:val="Eivli"/>
      </w:pPr>
    </w:p>
    <w:p w14:paraId="457934B5" w14:textId="18C79927" w:rsidR="00BB204E" w:rsidRDefault="00C66DC3" w:rsidP="00BB204E">
      <w:pPr>
        <w:pStyle w:val="Eivli"/>
        <w:jc w:val="center"/>
      </w:pPr>
      <w:r>
        <w:t xml:space="preserve">10 </w:t>
      </w:r>
      <w:r w:rsidR="00BB204E">
        <w:t>§</w:t>
      </w:r>
    </w:p>
    <w:p w14:paraId="55E7E1DD" w14:textId="43239C2B" w:rsidR="00BB204E" w:rsidRPr="00CE7CFF" w:rsidRDefault="00F03BA0" w:rsidP="00BB204E">
      <w:pPr>
        <w:pStyle w:val="Eivli"/>
        <w:jc w:val="center"/>
        <w:rPr>
          <w:i/>
        </w:rPr>
      </w:pPr>
      <w:r>
        <w:rPr>
          <w:i/>
        </w:rPr>
        <w:t xml:space="preserve">Lääketieteelliseen </w:t>
      </w:r>
      <w:r w:rsidR="00770361">
        <w:rPr>
          <w:i/>
        </w:rPr>
        <w:t>tutkimukseen osallistuvan t</w:t>
      </w:r>
      <w:r w:rsidR="00BB204E" w:rsidRPr="00CE7CFF">
        <w:rPr>
          <w:i/>
        </w:rPr>
        <w:t>utkittavan ja tukihenkilön suojelun optimoin</w:t>
      </w:r>
      <w:r w:rsidR="00BC013C">
        <w:rPr>
          <w:i/>
        </w:rPr>
        <w:t>ti</w:t>
      </w:r>
    </w:p>
    <w:p w14:paraId="15CA7885" w14:textId="77777777" w:rsidR="00BB204E" w:rsidRDefault="00BB204E" w:rsidP="00CE7CFF">
      <w:pPr>
        <w:pStyle w:val="Eivli"/>
      </w:pPr>
    </w:p>
    <w:p w14:paraId="13CC3864" w14:textId="4F24E4B7" w:rsidR="00CE7CFF" w:rsidRPr="00CE7CFF" w:rsidRDefault="00F03BA0" w:rsidP="00CE7CFF">
      <w:pPr>
        <w:pStyle w:val="Eivli"/>
      </w:pPr>
      <w:r>
        <w:t>Lääket</w:t>
      </w:r>
      <w:r w:rsidR="00847D78">
        <w:t>ieteelliseen tutkimukseen osallistuvan</w:t>
      </w:r>
      <w:r w:rsidR="00847D78" w:rsidRPr="00CE7CFF">
        <w:t xml:space="preserve"> </w:t>
      </w:r>
      <w:r w:rsidR="00CE7CFF" w:rsidRPr="00CE7CFF">
        <w:t xml:space="preserve">tutkittavan altistus on suunniteltava yksilöllisesti, </w:t>
      </w:r>
      <w:r w:rsidR="00365552">
        <w:t>jos</w:t>
      </w:r>
      <w:r w:rsidR="00365552" w:rsidRPr="00CE7CFF">
        <w:t xml:space="preserve"> </w:t>
      </w:r>
      <w:r w:rsidR="00CE7CFF" w:rsidRPr="00CE7CFF">
        <w:t>tutkittavan oletetaan saavan tutkimuksesta, toimenpiteestä tai hoidosta terveydellistä hyötyä.</w:t>
      </w:r>
      <w:r w:rsidR="0019002A">
        <w:t xml:space="preserve"> Annosrajoitusta on käytettävä sellais</w:t>
      </w:r>
      <w:r w:rsidR="00365552">
        <w:t>e</w:t>
      </w:r>
      <w:r w:rsidR="0019002A">
        <w:t xml:space="preserve">lle henkilölle, </w:t>
      </w:r>
      <w:r w:rsidR="00365552">
        <w:t xml:space="preserve">jonka </w:t>
      </w:r>
      <w:r w:rsidR="0019002A">
        <w:t>ei odoteta saavan välitöntä terveydellistä hyötyä tutkimuksen aiheuttavasta säteilyaltistuksesta.</w:t>
      </w:r>
    </w:p>
    <w:p w14:paraId="1C9C197D" w14:textId="77777777" w:rsidR="00CE7CFF" w:rsidRPr="00CE7CFF" w:rsidRDefault="00CE7CFF" w:rsidP="00CE7CFF">
      <w:pPr>
        <w:pStyle w:val="Eivli"/>
      </w:pPr>
    </w:p>
    <w:p w14:paraId="618288F5" w14:textId="2F10BD30" w:rsidR="00CE7CFF" w:rsidRDefault="00607408" w:rsidP="00CE7CFF">
      <w:pPr>
        <w:pStyle w:val="Eivli"/>
      </w:pPr>
      <w:r>
        <w:t>T</w:t>
      </w:r>
      <w:r w:rsidR="00CE7CFF" w:rsidRPr="00CE7CFF">
        <w:t xml:space="preserve">ukihenkilöä on opastettava ja suojattava siten, </w:t>
      </w:r>
      <w:r w:rsidR="00CE0CBA">
        <w:t xml:space="preserve"> </w:t>
      </w:r>
      <w:r w:rsidR="00CE7CFF" w:rsidRPr="00CE7CFF">
        <w:t>että hänen altistumisensa jää niin pieneksi kuin käytännössä on mahdollista</w:t>
      </w:r>
      <w:r w:rsidR="00CE0CBA">
        <w:t>.</w:t>
      </w:r>
      <w:r w:rsidR="00365552">
        <w:t xml:space="preserve"> </w:t>
      </w:r>
      <w:r w:rsidR="00F03BA0">
        <w:t xml:space="preserve">Lisäksi </w:t>
      </w:r>
      <w:r w:rsidR="00365552">
        <w:t>tarvittaessa</w:t>
      </w:r>
      <w:r w:rsidR="00F03BA0">
        <w:t xml:space="preserve"> on</w:t>
      </w:r>
      <w:r w:rsidR="00365552">
        <w:t xml:space="preserve"> käytettävä annosrajoitusta</w:t>
      </w:r>
      <w:r w:rsidR="00CE7CFF" w:rsidRPr="00CE7CFF">
        <w:t>.</w:t>
      </w:r>
    </w:p>
    <w:p w14:paraId="459853D3" w14:textId="77777777" w:rsidR="00BB204E" w:rsidRDefault="00BB204E" w:rsidP="002D3AAC">
      <w:pPr>
        <w:pStyle w:val="Eivli"/>
      </w:pPr>
    </w:p>
    <w:p w14:paraId="14065436" w14:textId="77777777" w:rsidR="00133061" w:rsidRDefault="00133061" w:rsidP="002D3AAC">
      <w:pPr>
        <w:pStyle w:val="Eivli"/>
      </w:pPr>
    </w:p>
    <w:p w14:paraId="438736C4" w14:textId="64E9DC45" w:rsidR="00987C8F" w:rsidRDefault="00C66DC3" w:rsidP="00987C8F">
      <w:pPr>
        <w:pStyle w:val="Eivli"/>
        <w:jc w:val="center"/>
      </w:pPr>
      <w:r>
        <w:t xml:space="preserve">11 </w:t>
      </w:r>
      <w:r w:rsidR="00987C8F">
        <w:t>§</w:t>
      </w:r>
    </w:p>
    <w:p w14:paraId="6BC4A48D" w14:textId="330A5F91" w:rsidR="00607408" w:rsidRDefault="008D388A" w:rsidP="00987C8F">
      <w:pPr>
        <w:pStyle w:val="Eivli"/>
      </w:pPr>
      <w:r>
        <w:rPr>
          <w:i/>
        </w:rPr>
        <w:t xml:space="preserve"> Säteilevän potilaan kotiuttaminen</w:t>
      </w:r>
    </w:p>
    <w:p w14:paraId="5F97D607" w14:textId="3DF36915" w:rsidR="00987C8F" w:rsidRPr="00115416" w:rsidRDefault="00607408" w:rsidP="00987C8F">
      <w:pPr>
        <w:pStyle w:val="Eivli"/>
      </w:pPr>
      <w:r>
        <w:t>Jos</w:t>
      </w:r>
      <w:r w:rsidR="00987C8F" w:rsidRPr="00115416">
        <w:t xml:space="preserve"> </w:t>
      </w:r>
      <w:r w:rsidR="00987C8F">
        <w:t>lääketieteelliseen altistukseen</w:t>
      </w:r>
      <w:r w:rsidR="00987C8F" w:rsidRPr="00115416">
        <w:t xml:space="preserve"> on käytetty radioaktiivista </w:t>
      </w:r>
      <w:r w:rsidR="00987C8F" w:rsidRPr="00CB1AE1">
        <w:t>lääkettä</w:t>
      </w:r>
      <w:r w:rsidR="00987C8F" w:rsidRPr="00115416">
        <w:t xml:space="preserve"> tai potilaa</w:t>
      </w:r>
      <w:r w:rsidR="00987C8F">
        <w:t>seen</w:t>
      </w:r>
      <w:r w:rsidR="00987C8F" w:rsidRPr="00115416">
        <w:t xml:space="preserve"> on implantoitu umpilähde, </w:t>
      </w:r>
      <w:r w:rsidR="00987C8F">
        <w:t>altistuksen kohteena olevan henkilön</w:t>
      </w:r>
      <w:r w:rsidR="00987C8F" w:rsidRPr="00115416">
        <w:t xml:space="preserve"> saa kotiuttaa vasta, kun kehossa olevasta radioaktiivisesta aineesta </w:t>
      </w:r>
      <w:r>
        <w:t>tukihenkilölle ja</w:t>
      </w:r>
      <w:r w:rsidR="00987C8F">
        <w:t xml:space="preserve"> väestölle</w:t>
      </w:r>
      <w:r>
        <w:t xml:space="preserve"> aiheutuvan annoksen ennakoidaan jäävän annosrajoitusta pienemmäksi</w:t>
      </w:r>
      <w:r w:rsidR="00987C8F" w:rsidRPr="00115416">
        <w:t>.</w:t>
      </w:r>
    </w:p>
    <w:p w14:paraId="5EFAC25A" w14:textId="77777777" w:rsidR="00987C8F" w:rsidRDefault="00987C8F" w:rsidP="00987C8F">
      <w:pPr>
        <w:pStyle w:val="Eivli"/>
      </w:pPr>
    </w:p>
    <w:p w14:paraId="54FEE18B" w14:textId="7895926F" w:rsidR="00987C8F" w:rsidRPr="00115416" w:rsidRDefault="00987C8F" w:rsidP="00987C8F">
      <w:pPr>
        <w:pStyle w:val="Eivli"/>
      </w:pPr>
      <w:r>
        <w:t>Lääketieteellisestä altistuksesta vastaava lääkäri vastaa potilaan kotiuttamisesta ja kirjallisten ohjeiden antamisesta potilaalle tai tämän edustajalle potilaan kanssa tekemisissä olevien henkilöiden tarpeettoman altistuksen ehkäisemiseksi.</w:t>
      </w:r>
    </w:p>
    <w:p w14:paraId="7B968EDC" w14:textId="77777777" w:rsidR="00BB204E" w:rsidRDefault="00BB204E" w:rsidP="002D3AAC">
      <w:pPr>
        <w:pStyle w:val="Eivli"/>
      </w:pPr>
    </w:p>
    <w:p w14:paraId="1327C6DA" w14:textId="77777777" w:rsidR="00133061" w:rsidRDefault="00133061" w:rsidP="002D3AAC">
      <w:pPr>
        <w:pStyle w:val="Eivli"/>
      </w:pPr>
    </w:p>
    <w:p w14:paraId="502F3508" w14:textId="16A2057A" w:rsidR="00584C60" w:rsidRDefault="00C66DC3" w:rsidP="00584C60">
      <w:pPr>
        <w:pStyle w:val="Eivli"/>
        <w:jc w:val="center"/>
      </w:pPr>
      <w:r>
        <w:t>12</w:t>
      </w:r>
      <w:r w:rsidR="00272B94">
        <w:t xml:space="preserve"> </w:t>
      </w:r>
      <w:r w:rsidR="00584C60">
        <w:t>§</w:t>
      </w:r>
    </w:p>
    <w:p w14:paraId="3E125A8F" w14:textId="77777777" w:rsidR="00584C60" w:rsidRDefault="00584C60" w:rsidP="00584C60">
      <w:pPr>
        <w:pStyle w:val="Eivli"/>
        <w:jc w:val="center"/>
      </w:pPr>
      <w:r>
        <w:rPr>
          <w:i/>
        </w:rPr>
        <w:t>Säteilyaltistuksen laskenta- ja määrittämisperusteet</w:t>
      </w:r>
    </w:p>
    <w:p w14:paraId="6128FF68" w14:textId="77777777" w:rsidR="00584C60" w:rsidRDefault="00584C60" w:rsidP="00584C60">
      <w:pPr>
        <w:pStyle w:val="Eivli"/>
      </w:pPr>
    </w:p>
    <w:p w14:paraId="7CDB225A" w14:textId="793DAF3C" w:rsidR="00584C60" w:rsidRPr="00865F79" w:rsidRDefault="00584C60" w:rsidP="00584C60">
      <w:pPr>
        <w:pStyle w:val="Eivli"/>
        <w:rPr>
          <w:bCs/>
        </w:rPr>
      </w:pPr>
      <w:r>
        <w:rPr>
          <w:bCs/>
        </w:rPr>
        <w:t>Säteilyaltistuksen määrittämisessä on käytettävä liitte</w:t>
      </w:r>
      <w:r w:rsidR="003D5AA1">
        <w:rPr>
          <w:bCs/>
        </w:rPr>
        <w:t>i</w:t>
      </w:r>
      <w:r>
        <w:rPr>
          <w:bCs/>
        </w:rPr>
        <w:t xml:space="preserve">ssä </w:t>
      </w:r>
      <w:r w:rsidR="003D5AA1">
        <w:rPr>
          <w:bCs/>
        </w:rPr>
        <w:t>1</w:t>
      </w:r>
      <w:r w:rsidR="00BC013C">
        <w:rPr>
          <w:bCs/>
        </w:rPr>
        <w:t>─</w:t>
      </w:r>
      <w:r w:rsidR="003D5AA1">
        <w:rPr>
          <w:bCs/>
        </w:rPr>
        <w:t xml:space="preserve">3 </w:t>
      </w:r>
      <w:r w:rsidR="00272B94">
        <w:rPr>
          <w:bCs/>
        </w:rPr>
        <w:t xml:space="preserve">säädettyjä </w:t>
      </w:r>
      <w:r>
        <w:rPr>
          <w:bCs/>
        </w:rPr>
        <w:t>laskenta- ja määrittämisperusteita.</w:t>
      </w:r>
    </w:p>
    <w:p w14:paraId="1407851E" w14:textId="77777777" w:rsidR="00584C60" w:rsidRDefault="00584C60" w:rsidP="002D3AAC">
      <w:pPr>
        <w:pStyle w:val="Eivli"/>
      </w:pPr>
    </w:p>
    <w:p w14:paraId="7DB7FE32" w14:textId="77777777" w:rsidR="00566484" w:rsidRDefault="00566484" w:rsidP="002D3AAC">
      <w:pPr>
        <w:pStyle w:val="Eivli"/>
      </w:pPr>
    </w:p>
    <w:p w14:paraId="4F085BF8" w14:textId="2F144273" w:rsidR="005547B5" w:rsidRDefault="00584C60" w:rsidP="005547B5">
      <w:pPr>
        <w:pStyle w:val="Eivli"/>
        <w:jc w:val="center"/>
      </w:pPr>
      <w:r>
        <w:t>3</w:t>
      </w:r>
      <w:r w:rsidR="005547B5">
        <w:t xml:space="preserve"> luku</w:t>
      </w:r>
    </w:p>
    <w:p w14:paraId="5BE3D3CB" w14:textId="1BE1E658" w:rsidR="005547B5" w:rsidRPr="005547B5" w:rsidRDefault="005547B5" w:rsidP="005547B5">
      <w:pPr>
        <w:pStyle w:val="Eivli"/>
        <w:jc w:val="center"/>
        <w:rPr>
          <w:b/>
        </w:rPr>
      </w:pPr>
      <w:r>
        <w:rPr>
          <w:b/>
        </w:rPr>
        <w:t>Annosrajat</w:t>
      </w:r>
    </w:p>
    <w:p w14:paraId="774B43D9" w14:textId="77777777" w:rsidR="005547B5" w:rsidRDefault="005547B5" w:rsidP="002D3AAC">
      <w:pPr>
        <w:pStyle w:val="Eivli"/>
      </w:pPr>
    </w:p>
    <w:p w14:paraId="5476DD06" w14:textId="6FC14F15" w:rsidR="005547B5" w:rsidRDefault="00C66DC3" w:rsidP="005547B5">
      <w:pPr>
        <w:pStyle w:val="Eivli"/>
        <w:jc w:val="center"/>
      </w:pPr>
      <w:r>
        <w:t xml:space="preserve">13 </w:t>
      </w:r>
      <w:r w:rsidR="005547B5">
        <w:t>§</w:t>
      </w:r>
    </w:p>
    <w:p w14:paraId="6F0A0B44" w14:textId="77777777" w:rsidR="005547B5" w:rsidRDefault="005547B5" w:rsidP="005547B5">
      <w:pPr>
        <w:pStyle w:val="Eivli"/>
        <w:jc w:val="center"/>
      </w:pPr>
      <w:r>
        <w:rPr>
          <w:i/>
        </w:rPr>
        <w:t>Työntekijöiden annosrajat</w:t>
      </w:r>
    </w:p>
    <w:p w14:paraId="6F5F129B" w14:textId="77777777" w:rsidR="005547B5" w:rsidRDefault="005547B5" w:rsidP="005547B5">
      <w:pPr>
        <w:pStyle w:val="Eivli"/>
      </w:pPr>
    </w:p>
    <w:p w14:paraId="2D59BB85" w14:textId="1D73626E" w:rsidR="005547B5" w:rsidRDefault="005547B5" w:rsidP="005547B5">
      <w:pPr>
        <w:pStyle w:val="Eivli"/>
      </w:pPr>
      <w:r w:rsidRPr="00823C0B">
        <w:t xml:space="preserve">Säteilytoiminnasta työntekijälle aiheutuva efektiivinen annos ei saa olla suurempi kuin 20 </w:t>
      </w:r>
      <w:r w:rsidR="0014119C">
        <w:t>millisievertiä</w:t>
      </w:r>
      <w:r w:rsidRPr="00823C0B">
        <w:t xml:space="preserve"> vuodessa.</w:t>
      </w:r>
    </w:p>
    <w:p w14:paraId="667BB6DB" w14:textId="77777777" w:rsidR="005547B5" w:rsidRDefault="005547B5" w:rsidP="005547B5">
      <w:pPr>
        <w:pStyle w:val="Eivli"/>
      </w:pPr>
    </w:p>
    <w:p w14:paraId="3322CBB9" w14:textId="7F480D78" w:rsidR="005547B5" w:rsidRDefault="005547B5" w:rsidP="005547B5">
      <w:pPr>
        <w:pStyle w:val="Eivli"/>
      </w:pPr>
      <w:r w:rsidRPr="00823C0B">
        <w:t xml:space="preserve">Silmän mykiön ekvivalenttiannos ei saa olla suurempi </w:t>
      </w:r>
      <w:r w:rsidRPr="006E2B6B">
        <w:t>kuin 100</w:t>
      </w:r>
      <w:r w:rsidRPr="00823C0B">
        <w:t xml:space="preserve"> </w:t>
      </w:r>
      <w:r w:rsidR="0014119C">
        <w:t>millisievertiä</w:t>
      </w:r>
      <w:r w:rsidR="0014119C" w:rsidRPr="00823C0B">
        <w:t xml:space="preserve"> </w:t>
      </w:r>
      <w:r w:rsidRPr="00823C0B">
        <w:t xml:space="preserve">viiden peräkkäisen vuoden ajanjaksona edellyttäen, että sinä aikana </w:t>
      </w:r>
      <w:r w:rsidR="003D0FB0">
        <w:t xml:space="preserve">minään </w:t>
      </w:r>
      <w:r w:rsidRPr="00823C0B">
        <w:t>yksittäisenä vuo</w:t>
      </w:r>
      <w:r w:rsidR="003D0FB0">
        <w:t>tena</w:t>
      </w:r>
      <w:r w:rsidRPr="00823C0B">
        <w:t xml:space="preserve"> annos ei ole suurempi kuin 50 </w:t>
      </w:r>
      <w:r w:rsidR="0014119C">
        <w:t>millisievertiä</w:t>
      </w:r>
      <w:r w:rsidRPr="00823C0B">
        <w:t>.</w:t>
      </w:r>
    </w:p>
    <w:p w14:paraId="58EE3BB7" w14:textId="05434007" w:rsidR="005547B5" w:rsidRDefault="005547B5" w:rsidP="005547B5">
      <w:pPr>
        <w:pStyle w:val="Eivli"/>
      </w:pPr>
    </w:p>
    <w:p w14:paraId="4675CE92" w14:textId="26D9ED1E" w:rsidR="005547B5" w:rsidRDefault="005547B5" w:rsidP="005547B5">
      <w:pPr>
        <w:pStyle w:val="Eivli"/>
      </w:pPr>
      <w:r w:rsidRPr="00823C0B">
        <w:t xml:space="preserve">Ihon ekvivalenttiannos ei saa olla suurempi kuin 500 </w:t>
      </w:r>
      <w:r w:rsidR="0014119C">
        <w:t>millisievertiä</w:t>
      </w:r>
      <w:r w:rsidR="0014119C" w:rsidRPr="00823C0B">
        <w:t xml:space="preserve"> </w:t>
      </w:r>
      <w:r w:rsidRPr="00823C0B">
        <w:t xml:space="preserve">vuodessa </w:t>
      </w:r>
      <w:r w:rsidR="000C3209">
        <w:t>yhden</w:t>
      </w:r>
      <w:r w:rsidR="000C3209" w:rsidRPr="00823C0B">
        <w:t xml:space="preserve"> </w:t>
      </w:r>
      <w:r w:rsidR="0014119C">
        <w:t>neliösenttimetrin</w:t>
      </w:r>
      <w:r w:rsidRPr="00823C0B">
        <w:t xml:space="preserve"> suuruisen ihoalueen keskimääräisenä annoksena altistuneesta alueesta riippumatta.</w:t>
      </w:r>
    </w:p>
    <w:p w14:paraId="308290E1" w14:textId="77777777" w:rsidR="005547B5" w:rsidRDefault="005547B5" w:rsidP="005547B5">
      <w:pPr>
        <w:pStyle w:val="Eivli"/>
      </w:pPr>
    </w:p>
    <w:p w14:paraId="1BFCD96A" w14:textId="116A6B86" w:rsidR="005547B5" w:rsidRPr="00823C0B" w:rsidRDefault="005547B5" w:rsidP="005547B5">
      <w:pPr>
        <w:pStyle w:val="Eivli"/>
      </w:pPr>
      <w:r w:rsidRPr="00823C0B">
        <w:t xml:space="preserve">Käsien, käsivarsien, jalkaterien ja nilkkojen ekvivalenttiannos ei saa olla suurempi kuin 500 </w:t>
      </w:r>
      <w:r w:rsidR="0014119C">
        <w:t>millisievertiä</w:t>
      </w:r>
      <w:r w:rsidR="0014119C" w:rsidRPr="00823C0B">
        <w:t xml:space="preserve"> </w:t>
      </w:r>
      <w:r w:rsidRPr="00823C0B">
        <w:t>vuodessa</w:t>
      </w:r>
      <w:r w:rsidR="003D0FB0">
        <w:t>.</w:t>
      </w:r>
    </w:p>
    <w:p w14:paraId="4E2D6A89" w14:textId="77777777" w:rsidR="005547B5" w:rsidRDefault="005547B5" w:rsidP="005547B5">
      <w:pPr>
        <w:pStyle w:val="Eivli"/>
      </w:pPr>
    </w:p>
    <w:p w14:paraId="3F5CD7FF" w14:textId="77777777" w:rsidR="005547B5" w:rsidRDefault="005547B5" w:rsidP="005547B5">
      <w:pPr>
        <w:pStyle w:val="Eivli"/>
      </w:pPr>
    </w:p>
    <w:p w14:paraId="67D71D63" w14:textId="3AD9CB77" w:rsidR="005547B5" w:rsidRDefault="00C66DC3" w:rsidP="005547B5">
      <w:pPr>
        <w:pStyle w:val="Eivli"/>
        <w:jc w:val="center"/>
      </w:pPr>
      <w:r>
        <w:t xml:space="preserve">14 </w:t>
      </w:r>
      <w:r w:rsidR="005547B5">
        <w:t>§</w:t>
      </w:r>
    </w:p>
    <w:p w14:paraId="428F514E" w14:textId="77777777" w:rsidR="005547B5" w:rsidRDefault="005547B5" w:rsidP="005547B5">
      <w:pPr>
        <w:pStyle w:val="Eivli"/>
        <w:jc w:val="center"/>
      </w:pPr>
      <w:r>
        <w:rPr>
          <w:i/>
        </w:rPr>
        <w:t>Väestön annosrajat</w:t>
      </w:r>
    </w:p>
    <w:p w14:paraId="0F2EFE39" w14:textId="77777777" w:rsidR="005547B5" w:rsidRDefault="005547B5" w:rsidP="005547B5">
      <w:pPr>
        <w:pStyle w:val="Eivli"/>
      </w:pPr>
    </w:p>
    <w:p w14:paraId="18DB7EDE" w14:textId="0F4241DB" w:rsidR="005547B5" w:rsidRDefault="005547B5" w:rsidP="005547B5">
      <w:pPr>
        <w:pStyle w:val="Eivli"/>
      </w:pPr>
      <w:r w:rsidRPr="00823C0B">
        <w:t>Säteilytoiminnasta väestölle ja muille työntekijöille kuin säteilytyöntekijöille, säteilyvaaratyöntekijälle ja säteilyvaara-avustajalle aiheutuva efektiivinen annos ei saa oll</w:t>
      </w:r>
      <w:r>
        <w:t xml:space="preserve">a suurempi kuin 1 </w:t>
      </w:r>
      <w:r w:rsidR="0014119C">
        <w:t xml:space="preserve">millisievert </w:t>
      </w:r>
      <w:r>
        <w:t>vuodessa.</w:t>
      </w:r>
    </w:p>
    <w:p w14:paraId="379EB9EE" w14:textId="77777777" w:rsidR="005547B5" w:rsidRDefault="005547B5" w:rsidP="005547B5">
      <w:pPr>
        <w:pStyle w:val="Eivli"/>
      </w:pPr>
    </w:p>
    <w:p w14:paraId="5F4FAA8A" w14:textId="664A83C9" w:rsidR="005547B5" w:rsidRPr="00823C0B" w:rsidRDefault="005547B5" w:rsidP="005547B5">
      <w:pPr>
        <w:pStyle w:val="Eivli"/>
      </w:pPr>
      <w:r w:rsidRPr="00823C0B">
        <w:t xml:space="preserve">Silmän mykiön ekvivalenttiannos ei saa olla suurempi kuin 15 </w:t>
      </w:r>
      <w:r w:rsidR="0014119C">
        <w:t>millisievertiä</w:t>
      </w:r>
      <w:r w:rsidR="0014119C" w:rsidRPr="00823C0B">
        <w:t xml:space="preserve"> </w:t>
      </w:r>
      <w:r w:rsidRPr="00823C0B">
        <w:t xml:space="preserve">vuodessa eikä ihon ekvivalenttiannos suurempi kuin 50 </w:t>
      </w:r>
      <w:r w:rsidR="0014119C">
        <w:t>millisievertiä</w:t>
      </w:r>
      <w:r w:rsidR="0014119C" w:rsidRPr="00823C0B">
        <w:t xml:space="preserve"> </w:t>
      </w:r>
      <w:r w:rsidRPr="00823C0B">
        <w:t xml:space="preserve">vuodessa </w:t>
      </w:r>
      <w:r w:rsidR="000C3209">
        <w:t>yhden</w:t>
      </w:r>
      <w:r w:rsidR="000C3209" w:rsidRPr="00823C0B">
        <w:t xml:space="preserve"> </w:t>
      </w:r>
      <w:r w:rsidR="0014119C">
        <w:t>neliösenttimetrin</w:t>
      </w:r>
      <w:r w:rsidRPr="00823C0B">
        <w:t xml:space="preserve"> suuruisen ihoalueen keskimääräisenä annoksena, altistuneesta alueesta riippumatta</w:t>
      </w:r>
      <w:r>
        <w:t>.</w:t>
      </w:r>
    </w:p>
    <w:p w14:paraId="0E4E4A20" w14:textId="77777777" w:rsidR="005547B5" w:rsidRDefault="005547B5" w:rsidP="005547B5">
      <w:pPr>
        <w:pStyle w:val="Eivli"/>
      </w:pPr>
    </w:p>
    <w:p w14:paraId="6C7E66DE" w14:textId="77777777" w:rsidR="005547B5" w:rsidRDefault="005547B5" w:rsidP="005547B5">
      <w:pPr>
        <w:pStyle w:val="Eivli"/>
      </w:pPr>
    </w:p>
    <w:p w14:paraId="483D4A29" w14:textId="73B4C8A4" w:rsidR="005547B5" w:rsidRDefault="00C66DC3" w:rsidP="005547B5">
      <w:pPr>
        <w:pStyle w:val="Eivli"/>
        <w:jc w:val="center"/>
      </w:pPr>
      <w:r>
        <w:t xml:space="preserve">15 </w:t>
      </w:r>
      <w:r w:rsidR="005547B5">
        <w:t>§</w:t>
      </w:r>
    </w:p>
    <w:p w14:paraId="7252D5F1" w14:textId="77777777" w:rsidR="005547B5" w:rsidRDefault="005547B5" w:rsidP="005547B5">
      <w:pPr>
        <w:pStyle w:val="Eivli"/>
        <w:jc w:val="center"/>
      </w:pPr>
      <w:r>
        <w:rPr>
          <w:i/>
        </w:rPr>
        <w:t>Työharjoittelijoiden ja opiskelijoiden annosrajat</w:t>
      </w:r>
    </w:p>
    <w:p w14:paraId="6EE67097" w14:textId="77777777" w:rsidR="005547B5" w:rsidRDefault="005547B5" w:rsidP="005547B5">
      <w:pPr>
        <w:pStyle w:val="Eivli"/>
      </w:pPr>
    </w:p>
    <w:p w14:paraId="197A3C3B" w14:textId="3F92BC27" w:rsidR="005547B5" w:rsidRDefault="005547B5" w:rsidP="005547B5">
      <w:pPr>
        <w:pStyle w:val="Eivli"/>
      </w:pPr>
      <w:r w:rsidRPr="00823C0B">
        <w:t>Kun 16 vuotta täyttänyt</w:t>
      </w:r>
      <w:r w:rsidR="00363CFF">
        <w:t>,</w:t>
      </w:r>
      <w:r w:rsidR="00514655">
        <w:t xml:space="preserve"> mutta</w:t>
      </w:r>
      <w:r w:rsidRPr="00823C0B">
        <w:t xml:space="preserve"> alle 18-vuotias henkilö osallistuu säteilylähteiden käyttöön koulutuksensa tai siihen liittyvän työharjoittelun vuoksi, hänelle aiheutuva efektiivinen annos ei saa olla suurempi kuin 6 </w:t>
      </w:r>
      <w:r w:rsidR="000C3209">
        <w:t>millisievertiä</w:t>
      </w:r>
      <w:r w:rsidR="000C3209" w:rsidRPr="00823C0B">
        <w:t xml:space="preserve"> </w:t>
      </w:r>
      <w:r w:rsidRPr="00823C0B">
        <w:t>v</w:t>
      </w:r>
      <w:r>
        <w:t>uodessa.</w:t>
      </w:r>
    </w:p>
    <w:p w14:paraId="01656227" w14:textId="77777777" w:rsidR="005547B5" w:rsidRDefault="005547B5" w:rsidP="005547B5">
      <w:pPr>
        <w:pStyle w:val="Eivli"/>
      </w:pPr>
    </w:p>
    <w:p w14:paraId="297326EB" w14:textId="55742DAC" w:rsidR="005547B5" w:rsidRDefault="005547B5" w:rsidP="005547B5">
      <w:pPr>
        <w:pStyle w:val="Eivli"/>
      </w:pPr>
      <w:r w:rsidRPr="00823C0B">
        <w:t xml:space="preserve">Silmän mykiön ekvivalenttiannos ei saa olla suurempi kuin 15 </w:t>
      </w:r>
      <w:r w:rsidR="000C3209">
        <w:t>millisievertiä</w:t>
      </w:r>
      <w:r w:rsidR="000C3209" w:rsidRPr="00823C0B">
        <w:t xml:space="preserve"> </w:t>
      </w:r>
      <w:r w:rsidRPr="00823C0B">
        <w:t xml:space="preserve">vuodessa eikä ihon ekvivalenttiannos suurempi kuin 150 </w:t>
      </w:r>
      <w:r w:rsidR="000C3209">
        <w:t>millisievertiä</w:t>
      </w:r>
      <w:r w:rsidR="000C3209" w:rsidRPr="00823C0B">
        <w:t xml:space="preserve"> </w:t>
      </w:r>
      <w:r w:rsidRPr="00823C0B">
        <w:t xml:space="preserve">vuodessa </w:t>
      </w:r>
      <w:r w:rsidR="000C3209">
        <w:t>yhden neliösenttimetrin</w:t>
      </w:r>
      <w:r w:rsidRPr="00823C0B">
        <w:t xml:space="preserve"> suuruisen ihoalueen keskimääräisenä annoksena altistuneesta alueesta riippumatta.</w:t>
      </w:r>
    </w:p>
    <w:p w14:paraId="41A8DA6B" w14:textId="77777777" w:rsidR="005547B5" w:rsidRDefault="005547B5" w:rsidP="005547B5">
      <w:pPr>
        <w:pStyle w:val="Eivli"/>
      </w:pPr>
    </w:p>
    <w:p w14:paraId="05D00012" w14:textId="6508FE91" w:rsidR="005547B5" w:rsidRPr="00823C0B" w:rsidRDefault="005547B5" w:rsidP="005547B5">
      <w:pPr>
        <w:pStyle w:val="Eivli"/>
      </w:pPr>
      <w:r w:rsidRPr="00823C0B">
        <w:t xml:space="preserve">Käsien, käsivarsien, jalkaterien ja nilkkojen ekvivalenttiannos ei saa olla suurempi kuin 150 </w:t>
      </w:r>
      <w:r w:rsidR="000C3209">
        <w:t>millisievertiä</w:t>
      </w:r>
      <w:r w:rsidR="000C3209" w:rsidRPr="00823C0B">
        <w:t xml:space="preserve"> </w:t>
      </w:r>
      <w:r w:rsidRPr="00823C0B">
        <w:t>vuodessa</w:t>
      </w:r>
      <w:r>
        <w:t>.</w:t>
      </w:r>
    </w:p>
    <w:p w14:paraId="179F6F75" w14:textId="77777777" w:rsidR="005547B5" w:rsidRDefault="005547B5" w:rsidP="005547B5">
      <w:pPr>
        <w:pStyle w:val="Eivli"/>
      </w:pPr>
    </w:p>
    <w:p w14:paraId="5A83A8D4" w14:textId="635CB812" w:rsidR="005547B5" w:rsidRDefault="005547B5" w:rsidP="005547B5">
      <w:pPr>
        <w:pStyle w:val="Eivli"/>
      </w:pPr>
      <w:r w:rsidRPr="00823C0B">
        <w:t xml:space="preserve">Niihin 18 vuotta täyttäneisiin työharjoittelijoihin ja opiskelijoihin, joiden on opintojensa aikana käytettävä työssään säteilylähteitä, sovelletaan </w:t>
      </w:r>
      <w:r w:rsidR="00272B94">
        <w:t>13</w:t>
      </w:r>
      <w:r w:rsidR="00272B94" w:rsidRPr="00823C0B">
        <w:t xml:space="preserve"> </w:t>
      </w:r>
      <w:r w:rsidRPr="00823C0B">
        <w:t>§:ssä säädettyjä työntekijöiden annosrajoja</w:t>
      </w:r>
      <w:r>
        <w:t>.</w:t>
      </w:r>
    </w:p>
    <w:p w14:paraId="07F0B83E" w14:textId="77777777" w:rsidR="005547B5" w:rsidRDefault="005547B5" w:rsidP="005547B5">
      <w:pPr>
        <w:pStyle w:val="Eivli"/>
      </w:pPr>
    </w:p>
    <w:p w14:paraId="38D8D33A" w14:textId="4552D8F5" w:rsidR="005547B5" w:rsidRPr="00823C0B" w:rsidRDefault="005547B5" w:rsidP="005547B5">
      <w:pPr>
        <w:pStyle w:val="Eivli"/>
      </w:pPr>
      <w:r w:rsidRPr="00823C0B">
        <w:t xml:space="preserve">Muihin työharjoittelijoihin ja opiskelijoihin </w:t>
      </w:r>
      <w:r w:rsidRPr="00CB1AE1">
        <w:t xml:space="preserve">sovelletaan </w:t>
      </w:r>
      <w:r w:rsidR="00272B94" w:rsidRPr="00CB1AE1">
        <w:t xml:space="preserve">14 </w:t>
      </w:r>
      <w:r w:rsidRPr="00CB1AE1">
        <w:t>§:ssä säädettyjä</w:t>
      </w:r>
      <w:r w:rsidRPr="00823C0B">
        <w:t xml:space="preserve"> väestön annosrajoja</w:t>
      </w:r>
      <w:r>
        <w:t>.</w:t>
      </w:r>
    </w:p>
    <w:p w14:paraId="75A68853" w14:textId="77777777" w:rsidR="005547B5" w:rsidRDefault="005547B5" w:rsidP="002D3AAC">
      <w:pPr>
        <w:pStyle w:val="Eivli"/>
      </w:pPr>
    </w:p>
    <w:p w14:paraId="7EE19567" w14:textId="77777777" w:rsidR="002D3AAC" w:rsidRDefault="002D3AAC" w:rsidP="002D3AAC">
      <w:pPr>
        <w:pStyle w:val="Eivli"/>
      </w:pPr>
    </w:p>
    <w:p w14:paraId="103049E0" w14:textId="3FC9BE51" w:rsidR="00123550" w:rsidRDefault="00584C60" w:rsidP="00123550">
      <w:pPr>
        <w:pStyle w:val="Eivli"/>
        <w:jc w:val="center"/>
      </w:pPr>
      <w:r>
        <w:t>4</w:t>
      </w:r>
      <w:r w:rsidR="00123550">
        <w:t xml:space="preserve"> luku</w:t>
      </w:r>
    </w:p>
    <w:p w14:paraId="278EC55B" w14:textId="77777777" w:rsidR="00123550" w:rsidRPr="002D3AAC" w:rsidRDefault="00123550" w:rsidP="00123550">
      <w:pPr>
        <w:pStyle w:val="Eivli"/>
        <w:jc w:val="center"/>
        <w:rPr>
          <w:b/>
        </w:rPr>
      </w:pPr>
      <w:r>
        <w:rPr>
          <w:b/>
        </w:rPr>
        <w:t>Toiminnanharjoittajan velvollisuudet</w:t>
      </w:r>
    </w:p>
    <w:p w14:paraId="11F4B396" w14:textId="77777777" w:rsidR="00C66DC3" w:rsidRDefault="00C66DC3" w:rsidP="00584C60">
      <w:pPr>
        <w:pStyle w:val="Eivli"/>
        <w:jc w:val="center"/>
      </w:pPr>
    </w:p>
    <w:p w14:paraId="2DB7548D" w14:textId="79822C91" w:rsidR="00584C60" w:rsidRDefault="00C66DC3" w:rsidP="00584C60">
      <w:pPr>
        <w:pStyle w:val="Eivli"/>
        <w:jc w:val="center"/>
      </w:pPr>
      <w:r>
        <w:t xml:space="preserve">16 </w:t>
      </w:r>
      <w:r w:rsidR="00584C60">
        <w:t>§</w:t>
      </w:r>
    </w:p>
    <w:p w14:paraId="6D3365E2" w14:textId="62404A4D" w:rsidR="00584C60" w:rsidRDefault="005F79EF" w:rsidP="00584C60">
      <w:pPr>
        <w:pStyle w:val="Eivli"/>
        <w:jc w:val="center"/>
      </w:pPr>
      <w:r>
        <w:rPr>
          <w:i/>
        </w:rPr>
        <w:t xml:space="preserve">Säteilytoimintaa koskevat </w:t>
      </w:r>
      <w:r w:rsidR="00584C60">
        <w:rPr>
          <w:i/>
        </w:rPr>
        <w:t>luokitukset</w:t>
      </w:r>
    </w:p>
    <w:p w14:paraId="67D885F0" w14:textId="77777777" w:rsidR="00584C60" w:rsidRDefault="00584C60" w:rsidP="00584C60">
      <w:pPr>
        <w:pStyle w:val="Eivli"/>
      </w:pPr>
    </w:p>
    <w:p w14:paraId="7897252C" w14:textId="08CCE754" w:rsidR="00584C60" w:rsidRPr="00506342" w:rsidRDefault="00584C60" w:rsidP="00584C60">
      <w:pPr>
        <w:pStyle w:val="Eivli"/>
      </w:pPr>
      <w:r w:rsidRPr="001714CD">
        <w:t>Säteilylain 27 §:ssä tarkoitetut</w:t>
      </w:r>
      <w:r w:rsidRPr="00506342">
        <w:t xml:space="preserve"> luokitu</w:t>
      </w:r>
      <w:r>
        <w:t>kset</w:t>
      </w:r>
      <w:r w:rsidRPr="00506342">
        <w:t xml:space="preserve"> on tehtävä erikseen</w:t>
      </w:r>
      <w:r>
        <w:t xml:space="preserve"> </w:t>
      </w:r>
      <w:r w:rsidRPr="00506342">
        <w:t>työperäiselle altistukselle, väestön altistukselle ja lääketieteelliselle altistukselle. Luokitusta varten on tarkasteltava normaalista toiminnasta aiheutuvaa säteilyaltistusta sekä säteilyturvallisuuspoikkeamista aiheutuvaa potentiaalista altistusta.</w:t>
      </w:r>
    </w:p>
    <w:p w14:paraId="5979F2C8" w14:textId="77777777" w:rsidR="00584C60" w:rsidRDefault="00584C60" w:rsidP="00584C60">
      <w:pPr>
        <w:pStyle w:val="Eivli"/>
      </w:pPr>
    </w:p>
    <w:p w14:paraId="3663CEC7" w14:textId="77777777" w:rsidR="00584C60" w:rsidRDefault="00584C60" w:rsidP="00584C60">
      <w:pPr>
        <w:pStyle w:val="Eivli"/>
      </w:pPr>
      <w:r w:rsidRPr="00506342">
        <w:t>Lisäksi on tehtävä säteilylähteisiin perustuva luokitus avolähteille laboratorioissa, radioaktiivisten aineiden päästöille, umpilähteille ja läjityksenä loppusijoitettaville jätteille.</w:t>
      </w:r>
    </w:p>
    <w:p w14:paraId="2E008641" w14:textId="77777777" w:rsidR="00584C60" w:rsidRDefault="00584C60" w:rsidP="00584C60">
      <w:pPr>
        <w:pStyle w:val="Eivli"/>
      </w:pPr>
    </w:p>
    <w:p w14:paraId="652B3CE9" w14:textId="53AEA91C" w:rsidR="00584C60" w:rsidRDefault="00584C60" w:rsidP="00584C60">
      <w:pPr>
        <w:pStyle w:val="Eivli"/>
      </w:pPr>
      <w:r w:rsidRPr="00506342">
        <w:t xml:space="preserve">Säteilyaltistuksen ja säteilylähteen luokka voi olla 1, 2 tai 3. Luokka 1 vastaa suurinta ja luokka 3 pienintä säteilyaltistusta, muuta haittaa tai lähteen aktiivisuutta. Jos jotain </w:t>
      </w:r>
      <w:r w:rsidR="00BC013C">
        <w:t>luokituksen perusteena olevaa</w:t>
      </w:r>
      <w:r w:rsidRPr="00506342">
        <w:t xml:space="preserve"> säteilyaltistusta tai </w:t>
      </w:r>
      <w:r w:rsidRPr="00CB1AE1">
        <w:t xml:space="preserve">säteilylähdettä ei ole kyseisessä toiminnassa, sen luokka on E. Säteilyaltistusten ja säteilylähteiden </w:t>
      </w:r>
      <w:r w:rsidR="000C3209" w:rsidRPr="00CB1AE1">
        <w:t>luokituksista säädetään</w:t>
      </w:r>
      <w:r w:rsidRPr="00CB1AE1">
        <w:t xml:space="preserve"> liittee</w:t>
      </w:r>
      <w:r w:rsidR="00363CFF">
        <w:t>ssä</w:t>
      </w:r>
      <w:r w:rsidR="00CB1AE1" w:rsidRPr="00CB1AE1">
        <w:t xml:space="preserve"> 5</w:t>
      </w:r>
      <w:r w:rsidRPr="00CB1AE1">
        <w:t xml:space="preserve"> </w:t>
      </w:r>
      <w:r w:rsidR="00363CFF">
        <w:t xml:space="preserve">olevassa </w:t>
      </w:r>
      <w:r w:rsidRPr="00CB1AE1">
        <w:t>taulukossa 1 ja 2.</w:t>
      </w:r>
    </w:p>
    <w:p w14:paraId="2B3609A1" w14:textId="77777777" w:rsidR="00123550" w:rsidRDefault="00123550" w:rsidP="00123550">
      <w:pPr>
        <w:pStyle w:val="Eivli"/>
      </w:pPr>
    </w:p>
    <w:p w14:paraId="5F39C95D" w14:textId="77777777" w:rsidR="00123550" w:rsidRDefault="00123550" w:rsidP="00123550">
      <w:pPr>
        <w:pStyle w:val="Eivli"/>
      </w:pPr>
    </w:p>
    <w:p w14:paraId="46EEE028" w14:textId="739A2D2C" w:rsidR="00123550" w:rsidRDefault="00C66DC3" w:rsidP="00123550">
      <w:pPr>
        <w:pStyle w:val="Eivli"/>
        <w:jc w:val="center"/>
      </w:pPr>
      <w:r>
        <w:t xml:space="preserve">17 </w:t>
      </w:r>
      <w:r w:rsidR="00123550">
        <w:t>§</w:t>
      </w:r>
    </w:p>
    <w:p w14:paraId="551A4389" w14:textId="77777777" w:rsidR="00123550" w:rsidRDefault="00123550" w:rsidP="00123550">
      <w:pPr>
        <w:pStyle w:val="Eivli"/>
        <w:jc w:val="center"/>
        <w:rPr>
          <w:i/>
        </w:rPr>
      </w:pPr>
      <w:r>
        <w:rPr>
          <w:i/>
        </w:rPr>
        <w:t>Säteilyturvallisuusasiantuntijan käyttäminen</w:t>
      </w:r>
    </w:p>
    <w:p w14:paraId="6B9DB2E9" w14:textId="77777777" w:rsidR="00123550" w:rsidRDefault="00123550" w:rsidP="00123550">
      <w:pPr>
        <w:pStyle w:val="Eivli"/>
      </w:pPr>
    </w:p>
    <w:p w14:paraId="1BE5942D" w14:textId="56C1D8C1" w:rsidR="00123550" w:rsidRPr="00CF6412" w:rsidRDefault="00123550" w:rsidP="00123550">
      <w:pPr>
        <w:pStyle w:val="Eivli"/>
      </w:pPr>
      <w:r w:rsidRPr="00CF6412">
        <w:t xml:space="preserve">Säteilyturvallisuusasiantuntijaa on käytettävä säännöllisesti säteilytoiminnassa, jossa </w:t>
      </w:r>
      <w:r w:rsidR="00BC013C">
        <w:t>16</w:t>
      </w:r>
      <w:r>
        <w:t xml:space="preserve"> </w:t>
      </w:r>
      <w:r w:rsidRPr="003F6516">
        <w:t>§:ssä tarkoitettu</w:t>
      </w:r>
      <w:r w:rsidRPr="00CF6412">
        <w:t xml:space="preserve"> työperäisen tai väestön altistuksen luokka on 1 tai 2. Säteilyturvallisuusasiantuntija on oltava käytettävissä, jos työperäisen tai väestön altistuksen luokka on 3.</w:t>
      </w:r>
    </w:p>
    <w:p w14:paraId="51723BAB" w14:textId="77777777" w:rsidR="00123550" w:rsidRPr="00CF6412" w:rsidRDefault="00123550" w:rsidP="00123550">
      <w:pPr>
        <w:pStyle w:val="Eivli"/>
      </w:pPr>
    </w:p>
    <w:p w14:paraId="2667E73D" w14:textId="77777777" w:rsidR="00123550" w:rsidRPr="00CF6412" w:rsidRDefault="00123550" w:rsidP="00123550">
      <w:pPr>
        <w:pStyle w:val="Eivli"/>
      </w:pPr>
      <w:r w:rsidRPr="00CF6412">
        <w:t>Säteilyturvallisuusasiantuntijaa on käytettävä lisäksi:</w:t>
      </w:r>
    </w:p>
    <w:p w14:paraId="7B1EDA03" w14:textId="77777777" w:rsidR="00123550" w:rsidRPr="00CF6412" w:rsidRDefault="00123550" w:rsidP="00624C57">
      <w:pPr>
        <w:pStyle w:val="Eivli"/>
        <w:numPr>
          <w:ilvl w:val="0"/>
          <w:numId w:val="25"/>
        </w:numPr>
      </w:pPr>
      <w:r w:rsidRPr="00CF6412">
        <w:t>uutta säteilytoimintaa aloitettaessa;</w:t>
      </w:r>
    </w:p>
    <w:p w14:paraId="699E9089" w14:textId="77777777" w:rsidR="00123550" w:rsidRPr="00CF6412" w:rsidRDefault="00123550" w:rsidP="00624C57">
      <w:pPr>
        <w:pStyle w:val="Eivli"/>
        <w:numPr>
          <w:ilvl w:val="0"/>
          <w:numId w:val="25"/>
        </w:numPr>
      </w:pPr>
      <w:r w:rsidRPr="00CF6412">
        <w:t>säteilytoimintaa muutettaessa siten, että työperäisen tai väestön altistuksen luokka voi muuttua;</w:t>
      </w:r>
    </w:p>
    <w:p w14:paraId="031BC3BF" w14:textId="77777777" w:rsidR="00123550" w:rsidRDefault="00123550" w:rsidP="00624C57">
      <w:pPr>
        <w:pStyle w:val="Eivli"/>
        <w:numPr>
          <w:ilvl w:val="0"/>
          <w:numId w:val="25"/>
        </w:numPr>
      </w:pPr>
      <w:r w:rsidRPr="00CF6412">
        <w:t>jos työntekijöiden tai väestön säteilysuojelussa havaitaan ongelmia.</w:t>
      </w:r>
    </w:p>
    <w:p w14:paraId="5B31200C" w14:textId="77777777" w:rsidR="00123550" w:rsidRDefault="00123550" w:rsidP="00123550">
      <w:pPr>
        <w:pStyle w:val="Eivli"/>
        <w:rPr>
          <w:rFonts w:ascii="Times New Roman" w:eastAsia="Times New Roman" w:hAnsi="Times New Roman" w:cs="Times New Roman"/>
          <w:lang w:eastAsia="fi-FI"/>
        </w:rPr>
      </w:pPr>
    </w:p>
    <w:p w14:paraId="06A745E8" w14:textId="2E356A12" w:rsidR="00123550" w:rsidRPr="00363CFF" w:rsidRDefault="00A847FF" w:rsidP="00123550">
      <w:pPr>
        <w:pStyle w:val="Eivli"/>
        <w:rPr>
          <w:rFonts w:asciiTheme="majorHAnsi" w:eastAsia="Times New Roman" w:hAnsiTheme="majorHAnsi" w:cs="Times New Roman"/>
          <w:lang w:eastAsia="fi-FI"/>
        </w:rPr>
      </w:pPr>
      <w:r w:rsidRPr="00363CFF">
        <w:rPr>
          <w:rFonts w:asciiTheme="majorHAnsi" w:eastAsia="Times New Roman" w:hAnsiTheme="majorHAnsi" w:cs="Times New Roman"/>
          <w:lang w:eastAsia="fi-FI"/>
        </w:rPr>
        <w:t>Poiketen siitä, mitä 1 ja 2 momentissa säädetään, s</w:t>
      </w:r>
      <w:r w:rsidR="00123550" w:rsidRPr="00363CFF">
        <w:rPr>
          <w:rFonts w:asciiTheme="majorHAnsi" w:eastAsia="Times New Roman" w:hAnsiTheme="majorHAnsi" w:cs="Times New Roman"/>
          <w:lang w:eastAsia="fi-FI"/>
        </w:rPr>
        <w:t xml:space="preserve">äteilyturvallisuusasiantuntijaa on käytettävä, jos </w:t>
      </w:r>
      <w:r w:rsidR="00BC013C" w:rsidRPr="00363CFF">
        <w:rPr>
          <w:rFonts w:asciiTheme="majorHAnsi" w:eastAsia="Times New Roman" w:hAnsiTheme="majorHAnsi" w:cs="Times New Roman"/>
          <w:lang w:eastAsia="fi-FI"/>
        </w:rPr>
        <w:t xml:space="preserve">18 </w:t>
      </w:r>
      <w:r w:rsidR="00123550" w:rsidRPr="00363CFF">
        <w:rPr>
          <w:rFonts w:asciiTheme="majorHAnsi" w:eastAsia="Times New Roman" w:hAnsiTheme="majorHAnsi" w:cs="Times New Roman"/>
          <w:lang w:eastAsia="fi-FI"/>
        </w:rPr>
        <w:t xml:space="preserve">§:ssä tarkoitetussa asiassa tarvitaan neuvoja: </w:t>
      </w:r>
    </w:p>
    <w:p w14:paraId="5A317BB8" w14:textId="77777777" w:rsidR="00123550" w:rsidRPr="00363CFF" w:rsidRDefault="00123550" w:rsidP="00624C57">
      <w:pPr>
        <w:pStyle w:val="Eivli"/>
        <w:numPr>
          <w:ilvl w:val="0"/>
          <w:numId w:val="40"/>
        </w:numPr>
        <w:rPr>
          <w:rFonts w:asciiTheme="majorHAnsi" w:hAnsiTheme="majorHAnsi"/>
        </w:rPr>
      </w:pPr>
      <w:r w:rsidRPr="00363CFF">
        <w:rPr>
          <w:rFonts w:asciiTheme="majorHAnsi" w:eastAsia="Times New Roman" w:hAnsiTheme="majorHAnsi" w:cs="Times New Roman"/>
          <w:lang w:eastAsia="fi-FI"/>
        </w:rPr>
        <w:t>hammasröntgenkuvauksessa, jossa käytetään panoraamatomografialaitetta, kefalostaattia tai suun sisäiselle  kuvantallentimelle kuvaavaa röntgenlaitetta;</w:t>
      </w:r>
    </w:p>
    <w:p w14:paraId="376422A7" w14:textId="77777777" w:rsidR="00123550" w:rsidRPr="00363CFF" w:rsidRDefault="00123550" w:rsidP="00624C57">
      <w:pPr>
        <w:pStyle w:val="Eivli"/>
        <w:numPr>
          <w:ilvl w:val="0"/>
          <w:numId w:val="40"/>
        </w:numPr>
        <w:rPr>
          <w:rFonts w:asciiTheme="majorHAnsi" w:hAnsiTheme="majorHAnsi"/>
        </w:rPr>
      </w:pPr>
      <w:r w:rsidRPr="00363CFF">
        <w:rPr>
          <w:rFonts w:asciiTheme="majorHAnsi" w:eastAsia="Times New Roman" w:hAnsiTheme="majorHAnsi" w:cs="Times New Roman"/>
          <w:szCs w:val="24"/>
          <w:lang w:eastAsia="fi-FI"/>
        </w:rPr>
        <w:t>suojatun röntgenlaitteen käytössä teollisuudessa.</w:t>
      </w:r>
    </w:p>
    <w:p w14:paraId="17922E39" w14:textId="77777777" w:rsidR="00123550" w:rsidRDefault="00123550" w:rsidP="00123550">
      <w:pPr>
        <w:pStyle w:val="Eivli"/>
      </w:pPr>
    </w:p>
    <w:p w14:paraId="3CA4110E" w14:textId="77777777" w:rsidR="00DA5A1E" w:rsidRDefault="00DA5A1E" w:rsidP="00123550">
      <w:pPr>
        <w:pStyle w:val="Eivli"/>
      </w:pPr>
    </w:p>
    <w:p w14:paraId="5E03F41B" w14:textId="02F96F6F" w:rsidR="00123550" w:rsidRDefault="00C66DC3" w:rsidP="00123550">
      <w:pPr>
        <w:pStyle w:val="Eivli"/>
        <w:jc w:val="center"/>
      </w:pPr>
      <w:r>
        <w:t xml:space="preserve">18 </w:t>
      </w:r>
      <w:r w:rsidR="00123550">
        <w:t>§</w:t>
      </w:r>
    </w:p>
    <w:p w14:paraId="58B8A0E0" w14:textId="77777777" w:rsidR="00123550" w:rsidRDefault="00123550" w:rsidP="00123550">
      <w:pPr>
        <w:pStyle w:val="Eivli"/>
        <w:jc w:val="center"/>
        <w:rPr>
          <w:i/>
        </w:rPr>
      </w:pPr>
      <w:r>
        <w:rPr>
          <w:i/>
        </w:rPr>
        <w:t>Säteilyturvallisuusasiantuntijan käytön osa-alueet</w:t>
      </w:r>
    </w:p>
    <w:p w14:paraId="3E008EE3" w14:textId="77777777" w:rsidR="00123550" w:rsidRDefault="00123550" w:rsidP="00123550">
      <w:pPr>
        <w:pStyle w:val="Eivli"/>
      </w:pPr>
    </w:p>
    <w:p w14:paraId="36766851" w14:textId="2E24C709" w:rsidR="00123550" w:rsidRDefault="00123550" w:rsidP="00123550">
      <w:pPr>
        <w:pStyle w:val="Eivli"/>
      </w:pPr>
      <w:r w:rsidRPr="00B45260">
        <w:t>Säteilyturvallisuusasiantuntijaa on</w:t>
      </w:r>
      <w:r w:rsidR="00C2762C">
        <w:t xml:space="preserve"> </w:t>
      </w:r>
      <w:r w:rsidR="00BC013C">
        <w:t>1</w:t>
      </w:r>
      <w:r w:rsidR="00C2762C">
        <w:t>7 §</w:t>
      </w:r>
      <w:r w:rsidR="00BC013C">
        <w:t xml:space="preserve">:ssä </w:t>
      </w:r>
      <w:r w:rsidR="00C2762C">
        <w:t xml:space="preserve">säädetyllä tavalla </w:t>
      </w:r>
      <w:r w:rsidRPr="00B45260">
        <w:t>käytettävä:</w:t>
      </w:r>
    </w:p>
    <w:p w14:paraId="778CBAB2" w14:textId="77777777" w:rsidR="00123550" w:rsidRDefault="00123550" w:rsidP="00624C57">
      <w:pPr>
        <w:pStyle w:val="Eivli"/>
        <w:numPr>
          <w:ilvl w:val="0"/>
          <w:numId w:val="26"/>
        </w:numPr>
      </w:pPr>
      <w:r w:rsidRPr="00B45260">
        <w:t>säteilytoiminnan oikeutuksen osoittamisessa;</w:t>
      </w:r>
    </w:p>
    <w:p w14:paraId="6CE3459C" w14:textId="77777777" w:rsidR="00123550" w:rsidRDefault="00123550" w:rsidP="00624C57">
      <w:pPr>
        <w:pStyle w:val="Eivli"/>
        <w:numPr>
          <w:ilvl w:val="0"/>
          <w:numId w:val="26"/>
        </w:numPr>
      </w:pPr>
      <w:r w:rsidRPr="00B45260">
        <w:t>työperäisen altistuksen ja väestön altistuksen arvioinnissa ja rajoittamisessa;</w:t>
      </w:r>
    </w:p>
    <w:p w14:paraId="65F250C1" w14:textId="77777777" w:rsidR="00123550" w:rsidRDefault="00123550" w:rsidP="00624C57">
      <w:pPr>
        <w:pStyle w:val="Eivli"/>
        <w:numPr>
          <w:ilvl w:val="0"/>
          <w:numId w:val="26"/>
        </w:numPr>
      </w:pPr>
      <w:r w:rsidRPr="00B45260">
        <w:t>annosrajoitusten asettamisessa ja käytössä suojelun optimoimiseksi;</w:t>
      </w:r>
    </w:p>
    <w:p w14:paraId="1C10E949" w14:textId="77777777" w:rsidR="00123550" w:rsidRDefault="00123550" w:rsidP="00624C57">
      <w:pPr>
        <w:pStyle w:val="Eivli"/>
        <w:numPr>
          <w:ilvl w:val="0"/>
          <w:numId w:val="26"/>
        </w:numPr>
      </w:pPr>
      <w:r w:rsidRPr="00B45260">
        <w:t>varautumisessa säteilyturvallisuuspoikkeamiin ja niitä koskevien suunnitelmien laadinnassa;</w:t>
      </w:r>
    </w:p>
    <w:p w14:paraId="4FD261F2" w14:textId="77777777" w:rsidR="00123550" w:rsidRDefault="00123550" w:rsidP="00624C57">
      <w:pPr>
        <w:pStyle w:val="Eivli"/>
        <w:numPr>
          <w:ilvl w:val="0"/>
          <w:numId w:val="26"/>
        </w:numPr>
      </w:pPr>
      <w:r w:rsidRPr="00B45260">
        <w:t>säteilytoiminnan turvallisuusarvion laadinnassa;</w:t>
      </w:r>
    </w:p>
    <w:p w14:paraId="4B222EF8" w14:textId="398ABCA4" w:rsidR="00AB42BB" w:rsidRDefault="00AB42BB" w:rsidP="00624C57">
      <w:pPr>
        <w:pStyle w:val="Eivli"/>
        <w:numPr>
          <w:ilvl w:val="0"/>
          <w:numId w:val="26"/>
        </w:numPr>
      </w:pPr>
      <w:r>
        <w:t>turvajärjestelysuunnitelman laadinnassa</w:t>
      </w:r>
    </w:p>
    <w:p w14:paraId="5504653E" w14:textId="77777777" w:rsidR="00123550" w:rsidRDefault="00123550" w:rsidP="00624C57">
      <w:pPr>
        <w:pStyle w:val="Eivli"/>
        <w:numPr>
          <w:ilvl w:val="0"/>
          <w:numId w:val="26"/>
        </w:numPr>
      </w:pPr>
      <w:r w:rsidRPr="00B45260">
        <w:t>säteilytoimintaa koskevien laadunvarmistusohjelmien laadinnassa;</w:t>
      </w:r>
    </w:p>
    <w:p w14:paraId="24ACDDAE" w14:textId="77777777" w:rsidR="00123550" w:rsidRDefault="00123550" w:rsidP="00624C57">
      <w:pPr>
        <w:pStyle w:val="Eivli"/>
        <w:numPr>
          <w:ilvl w:val="0"/>
          <w:numId w:val="26"/>
        </w:numPr>
      </w:pPr>
      <w:r w:rsidRPr="00B45260">
        <w:t>työntekijöiden säteilyturvallisuusohjeiden laadinnassa;</w:t>
      </w:r>
    </w:p>
    <w:p w14:paraId="16C1341B" w14:textId="42AAC574" w:rsidR="00123550" w:rsidRDefault="00123550" w:rsidP="00624C57">
      <w:pPr>
        <w:pStyle w:val="Eivli"/>
        <w:numPr>
          <w:ilvl w:val="0"/>
          <w:numId w:val="26"/>
        </w:numPr>
      </w:pPr>
      <w:r w:rsidRPr="00B45260">
        <w:t>työntekijöiden koulutus- ja täydennyskoulutustarpeen määrittelyssä ja koulutuksen suunnittelussa;</w:t>
      </w:r>
    </w:p>
    <w:p w14:paraId="0CF8A5C3" w14:textId="5391BEF4" w:rsidR="00123550" w:rsidRDefault="00123550" w:rsidP="00624C57">
      <w:pPr>
        <w:pStyle w:val="Eivli"/>
        <w:numPr>
          <w:ilvl w:val="0"/>
          <w:numId w:val="26"/>
        </w:numPr>
      </w:pPr>
      <w:r w:rsidRPr="00B45260">
        <w:t>säteilymittareiden ja säteilymittauslaitteistojen käyttöönotossa;</w:t>
      </w:r>
    </w:p>
    <w:p w14:paraId="39FBD4ED" w14:textId="77777777" w:rsidR="00123550" w:rsidRDefault="00123550" w:rsidP="00624C57">
      <w:pPr>
        <w:pStyle w:val="Eivli"/>
        <w:numPr>
          <w:ilvl w:val="0"/>
          <w:numId w:val="26"/>
        </w:numPr>
      </w:pPr>
      <w:r w:rsidRPr="00B45260">
        <w:t xml:space="preserve">säteilylähteiden ja niiden käyttö- ja säilytyspaikkojen sekä niihin liittyvien suojausten ja </w:t>
      </w:r>
      <w:r>
        <w:t>t</w:t>
      </w:r>
      <w:r w:rsidRPr="00B45260">
        <w:t>urvajärjestelmien käyttöönotossa;</w:t>
      </w:r>
    </w:p>
    <w:p w14:paraId="0D244C96" w14:textId="77777777" w:rsidR="00123550" w:rsidRDefault="00123550" w:rsidP="00624C57">
      <w:pPr>
        <w:pStyle w:val="Eivli"/>
        <w:numPr>
          <w:ilvl w:val="0"/>
          <w:numId w:val="26"/>
        </w:numPr>
      </w:pPr>
      <w:r w:rsidRPr="00B45260">
        <w:t>radioaktiivisista jätteistä huolehtimiseen liittyvissä järjestelyissä;</w:t>
      </w:r>
    </w:p>
    <w:p w14:paraId="449ACAB8" w14:textId="0D59FAE2" w:rsidR="00123550" w:rsidRDefault="00123550" w:rsidP="00624C57">
      <w:pPr>
        <w:pStyle w:val="Eivli"/>
        <w:numPr>
          <w:ilvl w:val="0"/>
          <w:numId w:val="26"/>
        </w:numPr>
      </w:pPr>
      <w:r w:rsidRPr="00B45260">
        <w:t>säteilylähteiden ja käyttötilojen poistamisessa käytöstä;</w:t>
      </w:r>
    </w:p>
    <w:p w14:paraId="015FBF7A" w14:textId="77777777" w:rsidR="00123550" w:rsidRDefault="00123550" w:rsidP="00624C57">
      <w:pPr>
        <w:pStyle w:val="Eivli"/>
        <w:numPr>
          <w:ilvl w:val="0"/>
          <w:numId w:val="26"/>
        </w:numPr>
      </w:pPr>
      <w:r w:rsidRPr="00B45260">
        <w:lastRenderedPageBreak/>
        <w:t>säteilytyöntekijöiden luokittelussa;</w:t>
      </w:r>
    </w:p>
    <w:p w14:paraId="51415B80" w14:textId="77777777" w:rsidR="00123550" w:rsidRDefault="00123550" w:rsidP="00624C57">
      <w:pPr>
        <w:pStyle w:val="Eivli"/>
        <w:numPr>
          <w:ilvl w:val="0"/>
          <w:numId w:val="26"/>
        </w:numPr>
      </w:pPr>
      <w:r w:rsidRPr="00B45260">
        <w:t>työskentelyalueiden luokittelussa;</w:t>
      </w:r>
    </w:p>
    <w:p w14:paraId="53600F79" w14:textId="77777777" w:rsidR="00123550" w:rsidRDefault="00123550" w:rsidP="00624C57">
      <w:pPr>
        <w:pStyle w:val="Eivli"/>
        <w:numPr>
          <w:ilvl w:val="0"/>
          <w:numId w:val="26"/>
        </w:numPr>
      </w:pPr>
      <w:r w:rsidRPr="00B45260">
        <w:t>altistusolosuhteiden tarkkailun ja henkilökohtaisen annostarkkailun järjestämisessä;</w:t>
      </w:r>
    </w:p>
    <w:p w14:paraId="273E6F53" w14:textId="77777777" w:rsidR="00123550" w:rsidRDefault="00123550" w:rsidP="00624C57">
      <w:pPr>
        <w:pStyle w:val="Eivli"/>
        <w:numPr>
          <w:ilvl w:val="0"/>
          <w:numId w:val="26"/>
        </w:numPr>
      </w:pPr>
      <w:r w:rsidRPr="00B45260">
        <w:t>raskaana olevien ja imettävien työntekijöiden työjärjestelyissä;</w:t>
      </w:r>
    </w:p>
    <w:p w14:paraId="214178E1" w14:textId="77777777" w:rsidR="00123550" w:rsidRDefault="00123550" w:rsidP="00624C57">
      <w:pPr>
        <w:pStyle w:val="Eivli"/>
        <w:numPr>
          <w:ilvl w:val="0"/>
          <w:numId w:val="26"/>
        </w:numPr>
      </w:pPr>
      <w:r w:rsidRPr="00B45260">
        <w:t>radioaktiivisten aineiden päästöjä koskevissa järjestelyissä;</w:t>
      </w:r>
    </w:p>
    <w:p w14:paraId="67C70C47" w14:textId="77777777" w:rsidR="00123550" w:rsidRDefault="00123550" w:rsidP="00624C57">
      <w:pPr>
        <w:pStyle w:val="Eivli"/>
        <w:numPr>
          <w:ilvl w:val="0"/>
          <w:numId w:val="26"/>
        </w:numPr>
      </w:pPr>
      <w:r w:rsidRPr="00B45260">
        <w:t>väestön altistuksen seurannan järjestämisessä;</w:t>
      </w:r>
    </w:p>
    <w:p w14:paraId="5A2EF701" w14:textId="28EF7C3E" w:rsidR="00123550" w:rsidRDefault="00123550" w:rsidP="00624C57">
      <w:pPr>
        <w:pStyle w:val="Eivli"/>
        <w:numPr>
          <w:ilvl w:val="0"/>
          <w:numId w:val="26"/>
        </w:numPr>
      </w:pPr>
      <w:r w:rsidRPr="00B45260">
        <w:t>ympäristön radioaktiivisuuden perustilaselvityksen tekemisessä;</w:t>
      </w:r>
    </w:p>
    <w:p w14:paraId="56C6BAD4" w14:textId="77777777" w:rsidR="00123550" w:rsidRDefault="00123550" w:rsidP="00624C57">
      <w:pPr>
        <w:pStyle w:val="Eivli"/>
        <w:numPr>
          <w:ilvl w:val="0"/>
          <w:numId w:val="26"/>
        </w:numPr>
      </w:pPr>
      <w:r w:rsidRPr="00B45260">
        <w:t>säteilyturvallisuuspoikkeamien syiden ja poikkeamasta aihetuvan altistuksen selvittämisessä sekä vastaavien tapahtumien estämiseksi tarpeellisten toimenpiteiden suunnittelussa.</w:t>
      </w:r>
    </w:p>
    <w:p w14:paraId="20FA2C36" w14:textId="77777777" w:rsidR="00123550" w:rsidRPr="00CF6412" w:rsidRDefault="00123550" w:rsidP="00123550">
      <w:pPr>
        <w:pStyle w:val="Eivli"/>
      </w:pPr>
    </w:p>
    <w:p w14:paraId="387EDB40" w14:textId="77777777" w:rsidR="00123550" w:rsidRDefault="00123550" w:rsidP="00123550">
      <w:pPr>
        <w:pStyle w:val="Eivli"/>
      </w:pPr>
    </w:p>
    <w:p w14:paraId="75ADF299" w14:textId="3634B6AA" w:rsidR="00123550" w:rsidRDefault="00C66DC3" w:rsidP="00123550">
      <w:pPr>
        <w:pStyle w:val="Eivli"/>
        <w:jc w:val="center"/>
      </w:pPr>
      <w:r>
        <w:t xml:space="preserve">19 </w:t>
      </w:r>
      <w:r w:rsidR="00123550">
        <w:t>§</w:t>
      </w:r>
    </w:p>
    <w:p w14:paraId="2D40DB4F" w14:textId="77777777" w:rsidR="00123550" w:rsidRDefault="00123550" w:rsidP="00123550">
      <w:pPr>
        <w:pStyle w:val="Eivli"/>
        <w:jc w:val="center"/>
        <w:rPr>
          <w:i/>
        </w:rPr>
      </w:pPr>
      <w:r>
        <w:rPr>
          <w:i/>
        </w:rPr>
        <w:t>Lääketieteellisen fysiikan asiantuntijan käyttäminen</w:t>
      </w:r>
    </w:p>
    <w:p w14:paraId="2C2A259D" w14:textId="77777777" w:rsidR="00123550" w:rsidRDefault="00123550" w:rsidP="00123550">
      <w:pPr>
        <w:pStyle w:val="Eivli"/>
      </w:pPr>
    </w:p>
    <w:p w14:paraId="67F1CF8D" w14:textId="77777777" w:rsidR="00123550" w:rsidRDefault="00123550" w:rsidP="00123550">
      <w:pPr>
        <w:pStyle w:val="Eivli"/>
      </w:pPr>
      <w:r w:rsidRPr="00B45260">
        <w:t>Lääketieteellisen fysiikan asiantuntijaa on käytettävä tiiviisti sädehoidossa, lukuun ottamatta vakiintuneita isotooppihoitoja.</w:t>
      </w:r>
    </w:p>
    <w:p w14:paraId="42B4340E" w14:textId="77777777" w:rsidR="00123550" w:rsidRDefault="00123550" w:rsidP="00123550">
      <w:pPr>
        <w:pStyle w:val="Eivli"/>
      </w:pPr>
    </w:p>
    <w:p w14:paraId="163DE324" w14:textId="1323457F" w:rsidR="00123550" w:rsidRDefault="00123550" w:rsidP="00123550">
      <w:pPr>
        <w:pStyle w:val="Eivli"/>
      </w:pPr>
      <w:r w:rsidRPr="00B45260">
        <w:t>Lääketieteellisen fysiikan</w:t>
      </w:r>
      <w:r>
        <w:t xml:space="preserve"> asiantuntijaa on käytettävä muu</w:t>
      </w:r>
      <w:r w:rsidRPr="00B45260">
        <w:t>ssa kuin 1 momentissa tarkoitetussa isotooppihoidossa</w:t>
      </w:r>
      <w:r>
        <w:t xml:space="preserve"> sekä</w:t>
      </w:r>
      <w:r w:rsidRPr="00B45260">
        <w:t xml:space="preserve"> toimenpideradiologiassa</w:t>
      </w:r>
      <w:r>
        <w:t>,</w:t>
      </w:r>
      <w:r w:rsidRPr="00B45260">
        <w:t xml:space="preserve"> tietokonetomografiassa ja mu</w:t>
      </w:r>
      <w:r>
        <w:t>u</w:t>
      </w:r>
      <w:r w:rsidRPr="00B45260">
        <w:t>ssa suurta lääketieteellistä altistusta aiheuttavassa toiminnassa.</w:t>
      </w:r>
    </w:p>
    <w:p w14:paraId="5F3F9EB0" w14:textId="77777777" w:rsidR="00123550" w:rsidRPr="00B45260" w:rsidRDefault="00123550" w:rsidP="00123550">
      <w:pPr>
        <w:pStyle w:val="Eivli"/>
      </w:pPr>
    </w:p>
    <w:p w14:paraId="26B7B223" w14:textId="5C0D9383" w:rsidR="00123550" w:rsidRDefault="00A847FF" w:rsidP="00123550">
      <w:pPr>
        <w:pStyle w:val="Eivli"/>
      </w:pPr>
      <w:r>
        <w:t>Muussa kuin 1 ja 2 momentissa tarkoitetussa toiminnassa l</w:t>
      </w:r>
      <w:r w:rsidR="00123550" w:rsidRPr="00B45260">
        <w:t xml:space="preserve">ääketieteellisen fysiikan asiantuntijaa on käytettävä toimintaa aloitettaessa ja </w:t>
      </w:r>
      <w:r w:rsidR="00123550">
        <w:t>tämän</w:t>
      </w:r>
      <w:r w:rsidR="00123550" w:rsidRPr="00B45260">
        <w:t xml:space="preserve"> on oltava käytettävissä toiminnan aikana.</w:t>
      </w:r>
    </w:p>
    <w:p w14:paraId="7039A747" w14:textId="77777777" w:rsidR="00123550" w:rsidRDefault="00123550" w:rsidP="00123550">
      <w:pPr>
        <w:pStyle w:val="Eivli"/>
      </w:pPr>
    </w:p>
    <w:p w14:paraId="6ED34254" w14:textId="2BA41D6A" w:rsidR="00123550" w:rsidRDefault="00123550" w:rsidP="00123550">
      <w:pPr>
        <w:pStyle w:val="Eivli"/>
      </w:pPr>
      <w:r>
        <w:t>Poiketen siitä, mitä 3 momentissa säädetään, t</w:t>
      </w:r>
      <w:r w:rsidRPr="009C0ED0">
        <w:t xml:space="preserve">erveydenhuollon hammasröntgenkuvaukseen, jossa käytetään panoraamatomografialaitetta, kefalostaattia tai suun sisäiselle kuvantallentimelle </w:t>
      </w:r>
      <w:r>
        <w:t>kuvaavaa</w:t>
      </w:r>
      <w:r w:rsidRPr="009C0ED0">
        <w:t xml:space="preserve"> röntgenlaitetta, on käytettävä </w:t>
      </w:r>
      <w:r>
        <w:t>lääketieteellisen fysiikan a</w:t>
      </w:r>
      <w:r w:rsidRPr="009C0ED0">
        <w:t xml:space="preserve">siantuntijaa, jos </w:t>
      </w:r>
      <w:r w:rsidRPr="00C66DC3">
        <w:t xml:space="preserve">jossakin </w:t>
      </w:r>
      <w:r w:rsidR="00C66DC3" w:rsidRPr="00C66DC3">
        <w:t>20</w:t>
      </w:r>
      <w:r w:rsidRPr="00C66DC3">
        <w:t xml:space="preserve"> §:ssä tarkoitetussa</w:t>
      </w:r>
      <w:r w:rsidRPr="009C0ED0">
        <w:t xml:space="preserve"> asiassa tarvitaan neuvoja.</w:t>
      </w:r>
    </w:p>
    <w:p w14:paraId="39A4942A" w14:textId="77777777" w:rsidR="00123550" w:rsidRDefault="00123550" w:rsidP="00123550">
      <w:pPr>
        <w:pStyle w:val="Eivli"/>
      </w:pPr>
    </w:p>
    <w:p w14:paraId="79D4EEA3" w14:textId="4A2E983E" w:rsidR="00123550" w:rsidRDefault="00123550" w:rsidP="00123550">
      <w:pPr>
        <w:pStyle w:val="Eivli"/>
      </w:pPr>
      <w:r>
        <w:t>Säteilylain 14 luvussa tarkoitettuun kuvantamiseen terveydenhuollon laitteell</w:t>
      </w:r>
      <w:r w:rsidR="00DA5A1E">
        <w:t>a sovelletaan 3 ja 4 momenttia.</w:t>
      </w:r>
    </w:p>
    <w:p w14:paraId="78D3EC2E" w14:textId="77777777" w:rsidR="00123550" w:rsidRDefault="00123550" w:rsidP="00123550">
      <w:pPr>
        <w:pStyle w:val="Eivli"/>
      </w:pPr>
    </w:p>
    <w:p w14:paraId="7518A269" w14:textId="77777777" w:rsidR="00123550" w:rsidRDefault="00123550" w:rsidP="00123550">
      <w:pPr>
        <w:pStyle w:val="Eivli"/>
      </w:pPr>
    </w:p>
    <w:p w14:paraId="4D1B802B" w14:textId="64B203FC" w:rsidR="00123550" w:rsidRDefault="00C66DC3" w:rsidP="00123550">
      <w:pPr>
        <w:pStyle w:val="Eivli"/>
        <w:jc w:val="center"/>
      </w:pPr>
      <w:r>
        <w:t>20</w:t>
      </w:r>
      <w:r w:rsidR="00123550">
        <w:t xml:space="preserve"> §</w:t>
      </w:r>
    </w:p>
    <w:p w14:paraId="3310CC5C" w14:textId="77777777" w:rsidR="00123550" w:rsidRPr="00B45260" w:rsidRDefault="00123550" w:rsidP="00123550">
      <w:pPr>
        <w:pStyle w:val="Eivli"/>
        <w:jc w:val="center"/>
        <w:rPr>
          <w:i/>
        </w:rPr>
      </w:pPr>
      <w:r>
        <w:rPr>
          <w:i/>
        </w:rPr>
        <w:t>Lääketieteellisen fysiikan asiantuntijan käytön osa-alueet</w:t>
      </w:r>
    </w:p>
    <w:p w14:paraId="267CBDFD" w14:textId="77777777" w:rsidR="00123550" w:rsidRDefault="00123550" w:rsidP="00123550">
      <w:pPr>
        <w:pStyle w:val="Eivli"/>
      </w:pPr>
    </w:p>
    <w:p w14:paraId="1A916136" w14:textId="6E9A7102" w:rsidR="00123550" w:rsidRDefault="00CF5191" w:rsidP="00123550">
      <w:pPr>
        <w:pStyle w:val="Eivli"/>
      </w:pPr>
      <w:r>
        <w:t>L</w:t>
      </w:r>
      <w:r w:rsidR="00123550" w:rsidRPr="00B45260">
        <w:t xml:space="preserve">ääketieteellisen fysiikan asiantuntijaa </w:t>
      </w:r>
      <w:r>
        <w:t>on käytettävä</w:t>
      </w:r>
      <w:r w:rsidR="00123550" w:rsidRPr="00B45260">
        <w:t xml:space="preserve"> lääketieteellisen altistuksen dosimetriasta </w:t>
      </w:r>
      <w:r>
        <w:t>huolehtimiseen</w:t>
      </w:r>
      <w:r w:rsidR="00123550" w:rsidRPr="00B45260">
        <w:t xml:space="preserve"> mukaan lukien altistuksen määrittämiseen tarvittavat fysikaaliset mittaukset</w:t>
      </w:r>
      <w:r w:rsidR="00363CFF">
        <w:t xml:space="preserve"> sekä</w:t>
      </w:r>
      <w:r w:rsidR="00123550" w:rsidRPr="00B45260">
        <w:t>antamaan säteilylaitteita koskevia neuvoja ja osallistumaan:</w:t>
      </w:r>
    </w:p>
    <w:p w14:paraId="529B1656" w14:textId="6D53F3E2" w:rsidR="00E027DD" w:rsidRDefault="00123550" w:rsidP="00624C57">
      <w:pPr>
        <w:pStyle w:val="Eivli"/>
        <w:numPr>
          <w:ilvl w:val="0"/>
          <w:numId w:val="27"/>
        </w:numPr>
      </w:pPr>
      <w:r>
        <w:t>henkilön, johon kohdistuu lääketieteellistä altistusta</w:t>
      </w:r>
      <w:r w:rsidRPr="00B45260">
        <w:t xml:space="preserve"> sekä raskaana olevan tutkittavan</w:t>
      </w:r>
      <w:r>
        <w:t>, hoidettavan tai toimenpiteen kohteena olevan</w:t>
      </w:r>
      <w:r w:rsidRPr="00B45260">
        <w:t xml:space="preserve"> </w:t>
      </w:r>
      <w:r>
        <w:t xml:space="preserve">henkilön </w:t>
      </w:r>
      <w:r w:rsidRPr="00B45260">
        <w:t>sikiön suojelun optimointiin;</w:t>
      </w:r>
    </w:p>
    <w:p w14:paraId="1C30FC77" w14:textId="77777777" w:rsidR="00123550" w:rsidRDefault="00123550" w:rsidP="00624C57">
      <w:pPr>
        <w:pStyle w:val="Eivli"/>
        <w:numPr>
          <w:ilvl w:val="0"/>
          <w:numId w:val="27"/>
        </w:numPr>
      </w:pPr>
      <w:r w:rsidRPr="00B45260">
        <w:t>potilaan säteilyaltistuksen vertailutasoihin vertaamiseen;</w:t>
      </w:r>
    </w:p>
    <w:p w14:paraId="1E521C20" w14:textId="77777777" w:rsidR="00123550" w:rsidRDefault="00123550" w:rsidP="00624C57">
      <w:pPr>
        <w:pStyle w:val="Eivli"/>
        <w:numPr>
          <w:ilvl w:val="0"/>
          <w:numId w:val="27"/>
        </w:numPr>
      </w:pPr>
      <w:r w:rsidRPr="00B45260">
        <w:t>tavanomaisten radiologisten tutkimusten, toimenpiteiden ja hoitojen suorittamista koskevien ohjeiden laadintaan;</w:t>
      </w:r>
    </w:p>
    <w:p w14:paraId="4F0DC89F" w14:textId="38973BE3" w:rsidR="00123550" w:rsidRDefault="00123550" w:rsidP="00624C57">
      <w:pPr>
        <w:pStyle w:val="Eivli"/>
        <w:numPr>
          <w:ilvl w:val="0"/>
          <w:numId w:val="27"/>
        </w:numPr>
      </w:pPr>
      <w:r w:rsidRPr="00B45260">
        <w:t>mittalaitteistojen valintaan;</w:t>
      </w:r>
    </w:p>
    <w:p w14:paraId="5ED66329" w14:textId="534C44B3" w:rsidR="00123550" w:rsidRDefault="00AB42BB" w:rsidP="00624C57">
      <w:pPr>
        <w:pStyle w:val="Eivli"/>
        <w:numPr>
          <w:ilvl w:val="0"/>
          <w:numId w:val="27"/>
        </w:numPr>
      </w:pPr>
      <w:r>
        <w:t xml:space="preserve">hankittavien </w:t>
      </w:r>
      <w:r w:rsidR="00123550" w:rsidRPr="00B45260">
        <w:t>säteilylaitteiden teknis</w:t>
      </w:r>
      <w:r>
        <w:t>een määrittelyyn</w:t>
      </w:r>
      <w:r w:rsidR="00123550" w:rsidRPr="00B45260">
        <w:t>;</w:t>
      </w:r>
    </w:p>
    <w:p w14:paraId="61A70F35" w14:textId="77777777" w:rsidR="00123550" w:rsidRDefault="00123550" w:rsidP="00624C57">
      <w:pPr>
        <w:pStyle w:val="Eivli"/>
        <w:numPr>
          <w:ilvl w:val="0"/>
          <w:numId w:val="27"/>
        </w:numPr>
      </w:pPr>
      <w:r w:rsidRPr="00B45260">
        <w:t>käyttötilojen suunnitteluun;</w:t>
      </w:r>
    </w:p>
    <w:p w14:paraId="60FF52FF" w14:textId="77777777" w:rsidR="00123550" w:rsidRDefault="00123550" w:rsidP="00624C57">
      <w:pPr>
        <w:pStyle w:val="Eivli"/>
        <w:numPr>
          <w:ilvl w:val="0"/>
          <w:numId w:val="27"/>
        </w:numPr>
      </w:pPr>
      <w:r w:rsidRPr="00B45260">
        <w:t>säteilylaitteiden laadunvarmistu</w:t>
      </w:r>
      <w:r>
        <w:t xml:space="preserve">sohjelman suunnitteluun </w:t>
      </w:r>
      <w:r w:rsidRPr="00B45260">
        <w:t>ja toteuttamiseen;</w:t>
      </w:r>
    </w:p>
    <w:p w14:paraId="3E1FEC4F" w14:textId="77777777" w:rsidR="00123550" w:rsidRDefault="00123550" w:rsidP="00624C57">
      <w:pPr>
        <w:pStyle w:val="Eivli"/>
        <w:numPr>
          <w:ilvl w:val="0"/>
          <w:numId w:val="27"/>
        </w:numPr>
      </w:pPr>
      <w:r w:rsidRPr="00B45260">
        <w:t xml:space="preserve">laitteiden vastaanottotarkastuksiin ja </w:t>
      </w:r>
      <w:r>
        <w:t xml:space="preserve">laitteiden </w:t>
      </w:r>
      <w:r w:rsidRPr="00B45260">
        <w:t xml:space="preserve">käytönaikaisten </w:t>
      </w:r>
      <w:r>
        <w:t xml:space="preserve">hyväksyttävyysvaatimusten ja muiden laitteita ja niiden käyttöä koskevien </w:t>
      </w:r>
      <w:r w:rsidRPr="00B45260">
        <w:t>vaatimusten</w:t>
      </w:r>
      <w:r>
        <w:t xml:space="preserve"> täyttymisen</w:t>
      </w:r>
      <w:r w:rsidRPr="00B45260">
        <w:t xml:space="preserve"> osoittamiseen;</w:t>
      </w:r>
    </w:p>
    <w:p w14:paraId="69B96D36" w14:textId="77777777" w:rsidR="00123550" w:rsidRDefault="00123550" w:rsidP="00624C57">
      <w:pPr>
        <w:pStyle w:val="Eivli"/>
        <w:numPr>
          <w:ilvl w:val="0"/>
          <w:numId w:val="27"/>
        </w:numPr>
      </w:pPr>
      <w:r w:rsidRPr="00B45260">
        <w:t>turvallisuusarvion laatimiseen lääketieteellisen altistuksen osalta;</w:t>
      </w:r>
    </w:p>
    <w:p w14:paraId="099F9AA5" w14:textId="77777777" w:rsidR="00123550" w:rsidRDefault="00123550" w:rsidP="00624C57">
      <w:pPr>
        <w:pStyle w:val="Eivli"/>
        <w:numPr>
          <w:ilvl w:val="0"/>
          <w:numId w:val="27"/>
        </w:numPr>
      </w:pPr>
      <w:r w:rsidRPr="00B45260">
        <w:t>suunnitellusta poikkeavien lääketieteellisten altistusten selvittämiseen sekä vastaavien tapahtumien estämiseksi tarpeellisten toimenpiteiden suunnitteluun;</w:t>
      </w:r>
    </w:p>
    <w:p w14:paraId="4AFC603E" w14:textId="77777777" w:rsidR="00123550" w:rsidRDefault="00123550" w:rsidP="00624C57">
      <w:pPr>
        <w:pStyle w:val="Eivli"/>
        <w:numPr>
          <w:ilvl w:val="0"/>
          <w:numId w:val="27"/>
        </w:numPr>
      </w:pPr>
      <w:r w:rsidRPr="00B45260">
        <w:t>henkilöstön säteilysuojelukoulutuksen suunnitteluun ja järjestämiseen</w:t>
      </w:r>
      <w:r>
        <w:t>.</w:t>
      </w:r>
    </w:p>
    <w:p w14:paraId="4F04FC1F" w14:textId="77777777" w:rsidR="00123550" w:rsidRDefault="00123550" w:rsidP="00123550">
      <w:pPr>
        <w:pStyle w:val="Eivli"/>
      </w:pPr>
    </w:p>
    <w:p w14:paraId="0D4903B0" w14:textId="77777777" w:rsidR="00123550" w:rsidRDefault="00123550" w:rsidP="00123550">
      <w:pPr>
        <w:pStyle w:val="Eivli"/>
      </w:pPr>
    </w:p>
    <w:p w14:paraId="451F22EC" w14:textId="1C4FD9A1" w:rsidR="00123550" w:rsidRDefault="00C66DC3" w:rsidP="00123550">
      <w:pPr>
        <w:pStyle w:val="Eivli"/>
        <w:jc w:val="center"/>
      </w:pPr>
      <w:r>
        <w:t xml:space="preserve">21 </w:t>
      </w:r>
      <w:r w:rsidR="00123550">
        <w:t>§</w:t>
      </w:r>
    </w:p>
    <w:p w14:paraId="568B831C" w14:textId="77777777" w:rsidR="00123550" w:rsidRDefault="00123550" w:rsidP="00123550">
      <w:pPr>
        <w:pStyle w:val="Eivli"/>
        <w:jc w:val="center"/>
        <w:rPr>
          <w:i/>
        </w:rPr>
      </w:pPr>
      <w:r>
        <w:rPr>
          <w:i/>
        </w:rPr>
        <w:t>Asiantuntijoiden välinen yhteistyö</w:t>
      </w:r>
    </w:p>
    <w:p w14:paraId="4131BF09" w14:textId="77777777" w:rsidR="00123550" w:rsidRDefault="00123550" w:rsidP="00123550">
      <w:pPr>
        <w:pStyle w:val="Eivli"/>
      </w:pPr>
    </w:p>
    <w:p w14:paraId="2C7A8B65" w14:textId="77777777" w:rsidR="00123550" w:rsidRDefault="00123550" w:rsidP="00123550">
      <w:pPr>
        <w:pStyle w:val="Eivli"/>
      </w:pPr>
      <w:r w:rsidRPr="00B45260">
        <w:t>Toiminnanharjoittajan on huolehdittava siitä, että säteilyn lääketieteellisessä käytössä säteilyturvallisuusasiantuntija ja lääketieteellisen fysiikan asiantuntija toimivat yhteistyössä säteilysuojelun optimoinnissa.</w:t>
      </w:r>
    </w:p>
    <w:p w14:paraId="74427456" w14:textId="77777777" w:rsidR="00123550" w:rsidRDefault="00123550" w:rsidP="00123550">
      <w:pPr>
        <w:pStyle w:val="Eivli"/>
      </w:pPr>
    </w:p>
    <w:p w14:paraId="344F95A5" w14:textId="77777777" w:rsidR="00DA5A1E" w:rsidRPr="00B45260" w:rsidRDefault="00DA5A1E" w:rsidP="00123550">
      <w:pPr>
        <w:pStyle w:val="Eivli"/>
      </w:pPr>
    </w:p>
    <w:p w14:paraId="26A01A0A" w14:textId="3E5CAB5D" w:rsidR="00584C60" w:rsidRDefault="00C66DC3" w:rsidP="00584C60">
      <w:pPr>
        <w:pStyle w:val="Eivli"/>
        <w:jc w:val="center"/>
      </w:pPr>
      <w:r>
        <w:t xml:space="preserve">22 </w:t>
      </w:r>
      <w:r w:rsidR="00584C60">
        <w:t>§</w:t>
      </w:r>
    </w:p>
    <w:p w14:paraId="6713C420" w14:textId="77777777" w:rsidR="00584C60" w:rsidRDefault="00584C60" w:rsidP="00584C60">
      <w:pPr>
        <w:pStyle w:val="Eivli"/>
        <w:jc w:val="center"/>
        <w:rPr>
          <w:i/>
        </w:rPr>
      </w:pPr>
      <w:r>
        <w:rPr>
          <w:i/>
        </w:rPr>
        <w:t xml:space="preserve">Henkilöstövoimavarat </w:t>
      </w:r>
    </w:p>
    <w:p w14:paraId="7C57FF4D" w14:textId="77777777" w:rsidR="00584C60" w:rsidRPr="00FE39E6" w:rsidRDefault="00584C60" w:rsidP="00584C60">
      <w:pPr>
        <w:pStyle w:val="Eivli"/>
      </w:pPr>
    </w:p>
    <w:p w14:paraId="56EA1A97" w14:textId="77777777" w:rsidR="00584C60" w:rsidRPr="00A7713D" w:rsidRDefault="00584C60" w:rsidP="00584C60">
      <w:pPr>
        <w:pStyle w:val="Eivli"/>
      </w:pPr>
      <w:r w:rsidRPr="00A7713D">
        <w:t>Säteilyn lääketieteellisen käytön</w:t>
      </w:r>
      <w:r>
        <w:t xml:space="preserve"> turvallisuuden varmistamiseksi:</w:t>
      </w:r>
    </w:p>
    <w:p w14:paraId="6E0B092A" w14:textId="77777777" w:rsidR="00584C60" w:rsidRPr="00A7713D" w:rsidRDefault="00584C60" w:rsidP="00624C57">
      <w:pPr>
        <w:pStyle w:val="Eivli"/>
        <w:numPr>
          <w:ilvl w:val="0"/>
          <w:numId w:val="17"/>
        </w:numPr>
      </w:pPr>
      <w:r w:rsidRPr="00A7713D">
        <w:t>sädehoitolääkärin on oltava käytettävissä jokaisen hoitokerran yhteydessä ja isotooppilääkärin radionuklidihoidon yhteydessä</w:t>
      </w:r>
      <w:r>
        <w:t>;</w:t>
      </w:r>
    </w:p>
    <w:p w14:paraId="386B8931" w14:textId="77777777" w:rsidR="00584C60" w:rsidRPr="00A7713D" w:rsidRDefault="00584C60" w:rsidP="00624C57">
      <w:pPr>
        <w:pStyle w:val="Eivli"/>
        <w:numPr>
          <w:ilvl w:val="0"/>
          <w:numId w:val="17"/>
        </w:numPr>
      </w:pPr>
      <w:r w:rsidRPr="00A7713D">
        <w:t>sädehoitoa annettaessa paikalla on oltava kaksi hoidon varmistamisen ja keskeyttämisen osaavaa terveydenhuollon ammattihenkilöä, joista toisen on oltava röntgenhoitaja</w:t>
      </w:r>
      <w:r>
        <w:t>;</w:t>
      </w:r>
    </w:p>
    <w:p w14:paraId="107AFD16" w14:textId="35EE51C3" w:rsidR="00584C60" w:rsidRPr="00A7713D" w:rsidRDefault="00584C60" w:rsidP="00624C57">
      <w:pPr>
        <w:pStyle w:val="Eivli"/>
        <w:numPr>
          <w:ilvl w:val="0"/>
          <w:numId w:val="17"/>
        </w:numPr>
      </w:pPr>
      <w:r w:rsidRPr="00A7713D">
        <w:t>sairaalafyysikon on oltava käytettävissä jokaisen sädehoidon annoslaskennan ja hoidon toteutuksen varmistamise</w:t>
      </w:r>
      <w:r w:rsidR="00E027DD">
        <w:t>ssa</w:t>
      </w:r>
      <w:r w:rsidRPr="00A7713D">
        <w:t>, lukuun ottamatta vakiintuneita isotooppihoitoja</w:t>
      </w:r>
      <w:r>
        <w:t>;</w:t>
      </w:r>
    </w:p>
    <w:p w14:paraId="594BF820" w14:textId="12C37F62" w:rsidR="00584C60" w:rsidRPr="00A7713D" w:rsidRDefault="00584C60" w:rsidP="00624C57">
      <w:pPr>
        <w:pStyle w:val="Eivli"/>
        <w:numPr>
          <w:ilvl w:val="0"/>
          <w:numId w:val="17"/>
        </w:numPr>
      </w:pPr>
      <w:r w:rsidRPr="00A7713D">
        <w:t>isotooppilääkärin on oltava käytettävissä oikeutusarvioinnin varmistamise</w:t>
      </w:r>
      <w:r w:rsidR="00E027DD">
        <w:t>ssa</w:t>
      </w:r>
      <w:r w:rsidRPr="00A7713D">
        <w:t>ennen jokaista isotooppitutkimusta ja kuvien tulkintaa varten</w:t>
      </w:r>
      <w:r>
        <w:t xml:space="preserve"> sekä</w:t>
      </w:r>
      <w:r w:rsidRPr="00A7713D">
        <w:t xml:space="preserve"> </w:t>
      </w:r>
      <w:r>
        <w:t>y</w:t>
      </w:r>
      <w:r w:rsidRPr="00A7713D">
        <w:t>hdistelmätutkimusten kuvien tulkintaa varten on oltava käytettävissä asianmukaisen koulutuksen saanut lääkäri</w:t>
      </w:r>
      <w:r>
        <w:t>;</w:t>
      </w:r>
    </w:p>
    <w:p w14:paraId="527ADA3C" w14:textId="77777777" w:rsidR="00584C60" w:rsidRPr="00A7713D" w:rsidRDefault="00584C60" w:rsidP="00624C57">
      <w:pPr>
        <w:pStyle w:val="Eivli"/>
        <w:numPr>
          <w:ilvl w:val="0"/>
          <w:numId w:val="17"/>
        </w:numPr>
      </w:pPr>
      <w:r w:rsidRPr="00A7713D">
        <w:t>radiologin on oltava käytettävissä oikeutusarvioinnin varmistamiseksi ennen jokaista röntgentutkimusta ja kuvien tulkintaa varten</w:t>
      </w:r>
      <w:r>
        <w:t xml:space="preserve"> sekä</w:t>
      </w:r>
      <w:r w:rsidRPr="00A7713D" w:rsidDel="008B1652">
        <w:t xml:space="preserve"> </w:t>
      </w:r>
      <w:r>
        <w:t>y</w:t>
      </w:r>
      <w:r w:rsidRPr="00A7713D">
        <w:t>hdistelmätutkimusten kuvien tulkintaa varten on oltava käytettävissä asianmukaisen koulutuksen saanut lääkäri</w:t>
      </w:r>
      <w:r>
        <w:t>;</w:t>
      </w:r>
    </w:p>
    <w:p w14:paraId="4E131E3E" w14:textId="13CC5055" w:rsidR="00584C60" w:rsidRPr="00A7713D" w:rsidRDefault="00584C60" w:rsidP="00624C57">
      <w:pPr>
        <w:pStyle w:val="Eivli"/>
        <w:numPr>
          <w:ilvl w:val="0"/>
          <w:numId w:val="17"/>
        </w:numPr>
      </w:pPr>
      <w:r w:rsidRPr="00A7713D">
        <w:t xml:space="preserve">radioaktiivisten lääkkeiden </w:t>
      </w:r>
      <w:r w:rsidR="00B51CA6" w:rsidRPr="00A7713D">
        <w:t>valmistamise</w:t>
      </w:r>
      <w:r w:rsidR="00B51CA6">
        <w:t>ssa</w:t>
      </w:r>
      <w:r w:rsidR="00B51CA6" w:rsidRPr="00A7713D">
        <w:t xml:space="preserve"> </w:t>
      </w:r>
      <w:r w:rsidRPr="00A7713D">
        <w:t xml:space="preserve">on oltava käytössä henkilöstö, joka vaaditaan lääkelain </w:t>
      </w:r>
      <w:r>
        <w:t>(395/1987)</w:t>
      </w:r>
      <w:r w:rsidRPr="00A7713D">
        <w:t>14 §:</w:t>
      </w:r>
      <w:r>
        <w:t>ssä tarkoitettuun</w:t>
      </w:r>
      <w:r w:rsidRPr="00A7713D">
        <w:t xml:space="preserve"> lääkkeiden hyvien tuotantotapojen noudattamiseen</w:t>
      </w:r>
      <w:r>
        <w:t>;</w:t>
      </w:r>
    </w:p>
    <w:p w14:paraId="4E7C0052" w14:textId="474069ED" w:rsidR="00584C60" w:rsidRPr="00A7713D" w:rsidRDefault="00584C60" w:rsidP="00624C57">
      <w:pPr>
        <w:pStyle w:val="Eivli"/>
        <w:numPr>
          <w:ilvl w:val="0"/>
          <w:numId w:val="17"/>
        </w:numPr>
      </w:pPr>
      <w:r w:rsidRPr="00A7713D">
        <w:t xml:space="preserve">radioaktiivisten lääkkeiden </w:t>
      </w:r>
      <w:r w:rsidR="00B51CA6" w:rsidRPr="00A7713D">
        <w:t>antamis</w:t>
      </w:r>
      <w:r w:rsidR="00B51CA6">
        <w:t>essa</w:t>
      </w:r>
      <w:r w:rsidR="00B51CA6" w:rsidRPr="00A7713D">
        <w:t xml:space="preserve"> </w:t>
      </w:r>
      <w:r w:rsidRPr="007D4105">
        <w:t>tutkittavalle tai hoidettavalle on oltava käytettävissä terveydenhuollon ammattihenkilö, jo</w:t>
      </w:r>
      <w:r w:rsidR="00B51CA6">
        <w:t>nka</w:t>
      </w:r>
      <w:r w:rsidRPr="007D4105">
        <w:t xml:space="preserve"> säteilylain 112 §:n 1 momentissa</w:t>
      </w:r>
      <w:r w:rsidRPr="00A7713D">
        <w:t xml:space="preserve"> </w:t>
      </w:r>
      <w:r w:rsidR="00B51CA6" w:rsidRPr="00A7713D">
        <w:t>tarkoite</w:t>
      </w:r>
      <w:r w:rsidR="00B51CA6">
        <w:t>ttu</w:t>
      </w:r>
      <w:r w:rsidR="00B51CA6" w:rsidRPr="00A7713D">
        <w:t xml:space="preserve"> </w:t>
      </w:r>
      <w:r w:rsidRPr="00A7713D">
        <w:t xml:space="preserve">lääkäri </w:t>
      </w:r>
      <w:r w:rsidR="00B51CA6">
        <w:t>on osoittanut kyseiseen tehtävään</w:t>
      </w:r>
      <w:r>
        <w:t>;</w:t>
      </w:r>
    </w:p>
    <w:p w14:paraId="062534CA" w14:textId="0398FDE7" w:rsidR="00584C60" w:rsidRDefault="00584C60" w:rsidP="00624C57">
      <w:pPr>
        <w:pStyle w:val="Eivli"/>
        <w:numPr>
          <w:ilvl w:val="0"/>
          <w:numId w:val="17"/>
        </w:numPr>
      </w:pPr>
      <w:r w:rsidRPr="00A7713D">
        <w:t xml:space="preserve">isotooppitutkimuksen aikana </w:t>
      </w:r>
      <w:r>
        <w:t xml:space="preserve">sairaalafyysikon, </w:t>
      </w:r>
      <w:r w:rsidRPr="00A7713D">
        <w:t>röntgenhoitajan</w:t>
      </w:r>
      <w:r>
        <w:t xml:space="preserve">, </w:t>
      </w:r>
      <w:r w:rsidRPr="00A7713D">
        <w:t>bioanalyytikon tai isotooppilääketieteen kuvantamiseen koulutuksen saaneen sairaanhoitajan on oltava paikalla varmistamassa tutkimuksen kulku</w:t>
      </w:r>
      <w:r w:rsidR="00A630BD">
        <w:t>.</w:t>
      </w:r>
    </w:p>
    <w:p w14:paraId="5C66EB8B" w14:textId="77777777" w:rsidR="00584C60" w:rsidRDefault="00584C60" w:rsidP="00584C60">
      <w:pPr>
        <w:pStyle w:val="Eivli"/>
      </w:pPr>
    </w:p>
    <w:p w14:paraId="73671C3E" w14:textId="0D2C7DD8" w:rsidR="00584C60" w:rsidRDefault="00584C60" w:rsidP="00584C60">
      <w:pPr>
        <w:pStyle w:val="Eivli"/>
      </w:pPr>
      <w:r>
        <w:t xml:space="preserve">Teollisuusradiografiassa kuvaajalla on oltava ainakin yksi avustaja, </w:t>
      </w:r>
      <w:r w:rsidR="00A630BD">
        <w:t xml:space="preserve">jos </w:t>
      </w:r>
      <w:r>
        <w:t>kuvaus suoritetaan muualla kuin sitä varten tarkoitetussa kuvaushuoneessa</w:t>
      </w:r>
      <w:r w:rsidRPr="00A7713D">
        <w:t>.</w:t>
      </w:r>
    </w:p>
    <w:p w14:paraId="3475EE7F" w14:textId="77777777" w:rsidR="00123550" w:rsidRDefault="00123550" w:rsidP="00123550">
      <w:pPr>
        <w:pStyle w:val="Eivli"/>
      </w:pPr>
    </w:p>
    <w:p w14:paraId="7EE19568" w14:textId="77777777" w:rsidR="002D3AAC" w:rsidRDefault="002D3AAC" w:rsidP="002D3AAC">
      <w:pPr>
        <w:pStyle w:val="Eivli"/>
      </w:pPr>
    </w:p>
    <w:p w14:paraId="7EE19569" w14:textId="12CCC836" w:rsidR="002D3AAC" w:rsidRDefault="00584C60" w:rsidP="002D3AAC">
      <w:pPr>
        <w:pStyle w:val="Eivli"/>
        <w:jc w:val="center"/>
      </w:pPr>
      <w:r>
        <w:t>5</w:t>
      </w:r>
      <w:r w:rsidR="002D3AAC">
        <w:t xml:space="preserve"> luku</w:t>
      </w:r>
    </w:p>
    <w:p w14:paraId="7EE1956A" w14:textId="13A6EF87" w:rsidR="002D3AAC" w:rsidRPr="002D3AAC" w:rsidRDefault="00171621" w:rsidP="002D3AAC">
      <w:pPr>
        <w:pStyle w:val="Eivli"/>
        <w:jc w:val="center"/>
        <w:rPr>
          <w:b/>
        </w:rPr>
      </w:pPr>
      <w:r>
        <w:rPr>
          <w:b/>
        </w:rPr>
        <w:t>Turvallisuuslupa</w:t>
      </w:r>
    </w:p>
    <w:p w14:paraId="7EE1956B" w14:textId="77777777" w:rsidR="002D3AAC" w:rsidRDefault="002D3AAC" w:rsidP="002D3AAC">
      <w:pPr>
        <w:pStyle w:val="Eivli"/>
      </w:pPr>
    </w:p>
    <w:p w14:paraId="7EE1956C" w14:textId="68708D28" w:rsidR="002D3AAC" w:rsidRDefault="00C66DC3" w:rsidP="00B45260">
      <w:pPr>
        <w:pStyle w:val="Eivli"/>
        <w:jc w:val="center"/>
      </w:pPr>
      <w:r>
        <w:t xml:space="preserve">23 </w:t>
      </w:r>
      <w:r w:rsidR="00B45260">
        <w:t>§</w:t>
      </w:r>
    </w:p>
    <w:p w14:paraId="386E19EE" w14:textId="6091C175" w:rsidR="00B45260" w:rsidRDefault="00B45260" w:rsidP="00B45260">
      <w:pPr>
        <w:pStyle w:val="Eivli"/>
        <w:jc w:val="center"/>
        <w:rPr>
          <w:i/>
        </w:rPr>
      </w:pPr>
      <w:r>
        <w:rPr>
          <w:i/>
        </w:rPr>
        <w:t>Turvallisuuslupahakemuksessa esitettävät tiedot</w:t>
      </w:r>
    </w:p>
    <w:p w14:paraId="549E8644" w14:textId="77777777" w:rsidR="00B45260" w:rsidRDefault="00B45260" w:rsidP="00B45260">
      <w:pPr>
        <w:pStyle w:val="Eivli"/>
      </w:pPr>
    </w:p>
    <w:p w14:paraId="28CCFB8E" w14:textId="29E1FC93" w:rsidR="00B45260" w:rsidRDefault="00B45260" w:rsidP="00B45260">
      <w:pPr>
        <w:pStyle w:val="Eivli"/>
      </w:pPr>
      <w:r w:rsidRPr="00B45260">
        <w:t xml:space="preserve">Turvallisuuslupahakemukseen on liitettävä selvitys toiminnan oikeutuksesta, jos sen osoittaminen on säteilylain </w:t>
      </w:r>
      <w:r w:rsidR="00471E40" w:rsidRPr="00424000">
        <w:t>24</w:t>
      </w:r>
      <w:r w:rsidRPr="00424000">
        <w:t xml:space="preserve"> §:n</w:t>
      </w:r>
      <w:r w:rsidRPr="00424000" w:rsidDel="00471E40">
        <w:t xml:space="preserve"> </w:t>
      </w:r>
      <w:r w:rsidRPr="00B45260">
        <w:t>mukaan tarpeen.</w:t>
      </w:r>
    </w:p>
    <w:p w14:paraId="7931E40E" w14:textId="6FE2A00B" w:rsidR="00BA77A8" w:rsidRDefault="00BA77A8" w:rsidP="002D3AAC">
      <w:pPr>
        <w:pStyle w:val="Eivli"/>
      </w:pPr>
    </w:p>
    <w:p w14:paraId="77296B94" w14:textId="6A122FE9" w:rsidR="00B45260" w:rsidRDefault="00B45260" w:rsidP="002D3AAC">
      <w:pPr>
        <w:pStyle w:val="Eivli"/>
      </w:pPr>
      <w:r w:rsidRPr="00B45260">
        <w:t xml:space="preserve">Turvallisuuslupahakemuksessa on esitettävä liitteessä </w:t>
      </w:r>
      <w:r w:rsidR="00CB1AE1">
        <w:t>4</w:t>
      </w:r>
      <w:r w:rsidR="00CB1AE1" w:rsidRPr="00B45260">
        <w:t xml:space="preserve"> </w:t>
      </w:r>
      <w:r w:rsidR="006F05DF">
        <w:t>tarkoitetut</w:t>
      </w:r>
      <w:r w:rsidRPr="00B45260">
        <w:t xml:space="preserve"> tiedot.</w:t>
      </w:r>
    </w:p>
    <w:p w14:paraId="666DFB87" w14:textId="77777777" w:rsidR="00BA77A8" w:rsidRDefault="00BA77A8" w:rsidP="002D3AAC">
      <w:pPr>
        <w:pStyle w:val="Eivli"/>
      </w:pPr>
    </w:p>
    <w:p w14:paraId="7A3412DF" w14:textId="60F5CD02" w:rsidR="00B45260" w:rsidRDefault="00B45260" w:rsidP="002D3AAC">
      <w:pPr>
        <w:pStyle w:val="Eivli"/>
      </w:pPr>
      <w:r w:rsidRPr="00B45260">
        <w:t>Hakemukseen on liitettävä turvallisuusluvan hakijan virkatodistus tai, jos hakijana on yksityinen yhteisö tai säätiö, ote asianomaisesta rekisteristä.</w:t>
      </w:r>
    </w:p>
    <w:p w14:paraId="43CA1002" w14:textId="77777777" w:rsidR="00B45260" w:rsidRDefault="00B45260" w:rsidP="002D3AAC">
      <w:pPr>
        <w:pStyle w:val="Eivli"/>
      </w:pPr>
    </w:p>
    <w:p w14:paraId="0202EB19" w14:textId="2A2CC568" w:rsidR="00911FA0" w:rsidRDefault="00911FA0" w:rsidP="002D3AAC">
      <w:pPr>
        <w:pStyle w:val="Eivli"/>
      </w:pPr>
    </w:p>
    <w:p w14:paraId="7A97BCA3" w14:textId="075D294C" w:rsidR="00911FA0" w:rsidRDefault="00C66DC3" w:rsidP="00911FA0">
      <w:pPr>
        <w:pStyle w:val="Eivli"/>
        <w:jc w:val="center"/>
      </w:pPr>
      <w:r>
        <w:lastRenderedPageBreak/>
        <w:t xml:space="preserve">24 </w:t>
      </w:r>
      <w:r w:rsidR="00911FA0">
        <w:t>§</w:t>
      </w:r>
    </w:p>
    <w:p w14:paraId="2024A74C" w14:textId="3946604E" w:rsidR="00911FA0" w:rsidRDefault="00911FA0" w:rsidP="00911FA0">
      <w:pPr>
        <w:pStyle w:val="Eivli"/>
        <w:jc w:val="center"/>
      </w:pPr>
      <w:r w:rsidRPr="00911FA0">
        <w:rPr>
          <w:i/>
        </w:rPr>
        <w:t>Selvitykset ja ilmoitukset korkea-aktiivisen umpilähteen tuonnis</w:t>
      </w:r>
      <w:r w:rsidR="0018171D">
        <w:rPr>
          <w:i/>
        </w:rPr>
        <w:t>t</w:t>
      </w:r>
      <w:r w:rsidRPr="00911FA0">
        <w:rPr>
          <w:i/>
        </w:rPr>
        <w:t>a</w:t>
      </w:r>
      <w:r w:rsidR="00794FD1">
        <w:rPr>
          <w:i/>
        </w:rPr>
        <w:t xml:space="preserve"> ja viennistä</w:t>
      </w:r>
    </w:p>
    <w:p w14:paraId="208B4F94" w14:textId="77777777" w:rsidR="00BA77A8" w:rsidRDefault="00BA77A8" w:rsidP="002D3AAC">
      <w:pPr>
        <w:pStyle w:val="Eivli"/>
      </w:pPr>
    </w:p>
    <w:p w14:paraId="4B3C366D" w14:textId="6EDD85FE" w:rsidR="00911FA0" w:rsidRPr="00911FA0" w:rsidRDefault="00911FA0" w:rsidP="00911FA0">
      <w:pPr>
        <w:pStyle w:val="Eivli"/>
      </w:pPr>
      <w:r w:rsidRPr="00911FA0">
        <w:t xml:space="preserve">Ennen turvallisuusluvan myöntämistä luokkaan 1 tai 2 kuuluvan korkea-aktiivisen umpilähteen </w:t>
      </w:r>
      <w:r w:rsidRPr="0018171D">
        <w:t>vientiin,</w:t>
      </w:r>
      <w:r w:rsidRPr="00911FA0">
        <w:t xml:space="preserve"> Säteilyturvakeskus varmistaa määrä</w:t>
      </w:r>
      <w:r w:rsidR="00E027DD">
        <w:t>npää</w:t>
      </w:r>
      <w:r w:rsidR="008D388A">
        <w:t>valtion</w:t>
      </w:r>
      <w:r w:rsidRPr="00911FA0">
        <w:t xml:space="preserve"> asianomaiselta viranomaiselta, että vientiin ei määrä</w:t>
      </w:r>
      <w:r w:rsidR="00E027DD">
        <w:t>npää</w:t>
      </w:r>
      <w:r w:rsidR="008D388A">
        <w:t>valtion</w:t>
      </w:r>
      <w:r w:rsidRPr="00911FA0">
        <w:t xml:space="preserve"> puolelta ole estettä ja että vastaanottaja on oikeutettu vastaanottamaan lähteen.</w:t>
      </w:r>
    </w:p>
    <w:p w14:paraId="6000D1B5" w14:textId="77777777" w:rsidR="00911FA0" w:rsidRPr="00911FA0" w:rsidRDefault="00911FA0" w:rsidP="00911FA0">
      <w:pPr>
        <w:pStyle w:val="Eivli"/>
      </w:pPr>
    </w:p>
    <w:p w14:paraId="1A79EBFE" w14:textId="17CFD994" w:rsidR="00911FA0" w:rsidRPr="00911FA0" w:rsidRDefault="00794FD1" w:rsidP="00B56B3D">
      <w:pPr>
        <w:pStyle w:val="Eivli"/>
      </w:pPr>
      <w:r>
        <w:t xml:space="preserve">Säteilylain </w:t>
      </w:r>
      <w:r w:rsidR="00A20051">
        <w:t>7</w:t>
      </w:r>
      <w:r w:rsidR="00B56B3D">
        <w:t>2</w:t>
      </w:r>
      <w:r>
        <w:t xml:space="preserve"> §:n 3 momentissa tarkoitetut ilmoitukset on tehtävä l</w:t>
      </w:r>
      <w:r w:rsidR="00911FA0" w:rsidRPr="00911FA0">
        <w:t>uokkaan 1 ja 2 kuuluvista korkea-aktiivisista umpilähtei</w:t>
      </w:r>
      <w:r>
        <w:t>den tuonnista ja viennistä</w:t>
      </w:r>
      <w:r w:rsidR="00911FA0" w:rsidRPr="00911FA0">
        <w:t xml:space="preserve"> lähde-eräkohtaise</w:t>
      </w:r>
      <w:r>
        <w:t>s</w:t>
      </w:r>
      <w:r w:rsidR="00911FA0" w:rsidRPr="00911FA0">
        <w:t>t</w:t>
      </w:r>
      <w:r>
        <w:t>i</w:t>
      </w:r>
      <w:r w:rsidR="00911FA0" w:rsidRPr="00911FA0">
        <w:t xml:space="preserve"> siten kuin Säteilyturvakeskus niistä turvallisuusluvassa </w:t>
      </w:r>
      <w:r w:rsidR="00311B67">
        <w:t xml:space="preserve">tarkemmin </w:t>
      </w:r>
      <w:r w:rsidR="00911FA0" w:rsidRPr="00911FA0">
        <w:t>määrää.</w:t>
      </w:r>
    </w:p>
    <w:p w14:paraId="7D8B5C58" w14:textId="71942F8C" w:rsidR="00911FA0" w:rsidRDefault="00911FA0" w:rsidP="002D3AAC">
      <w:pPr>
        <w:pStyle w:val="Eivli"/>
      </w:pPr>
    </w:p>
    <w:p w14:paraId="6F00178B" w14:textId="77777777" w:rsidR="00911FA0" w:rsidRDefault="00911FA0" w:rsidP="002D3AAC">
      <w:pPr>
        <w:pStyle w:val="Eivli"/>
      </w:pPr>
    </w:p>
    <w:p w14:paraId="266AEE36" w14:textId="32F344A4" w:rsidR="00911FA0" w:rsidRDefault="00C66DC3" w:rsidP="00911FA0">
      <w:pPr>
        <w:pStyle w:val="Eivli"/>
        <w:jc w:val="center"/>
      </w:pPr>
      <w:r>
        <w:t xml:space="preserve">25 </w:t>
      </w:r>
      <w:r w:rsidR="00911FA0">
        <w:t>§</w:t>
      </w:r>
    </w:p>
    <w:p w14:paraId="6F4155FF" w14:textId="5C448983" w:rsidR="00911FA0" w:rsidRDefault="00911FA0" w:rsidP="00911FA0">
      <w:pPr>
        <w:pStyle w:val="Eivli"/>
        <w:jc w:val="center"/>
        <w:rPr>
          <w:i/>
        </w:rPr>
      </w:pPr>
      <w:r>
        <w:rPr>
          <w:i/>
        </w:rPr>
        <w:t>Turvallisuusluvan muuttaminen</w:t>
      </w:r>
    </w:p>
    <w:p w14:paraId="14C4C84A" w14:textId="77777777" w:rsidR="00911FA0" w:rsidRDefault="00911FA0" w:rsidP="00911FA0">
      <w:pPr>
        <w:pStyle w:val="Eivli"/>
      </w:pPr>
    </w:p>
    <w:p w14:paraId="3EC2A920" w14:textId="1C46980B" w:rsidR="00777B32" w:rsidRDefault="00911FA0" w:rsidP="00911FA0">
      <w:pPr>
        <w:pStyle w:val="Eivli"/>
      </w:pPr>
      <w:r w:rsidRPr="00911FA0">
        <w:t xml:space="preserve">Toiminnan </w:t>
      </w:r>
      <w:r w:rsidR="00EC04B3">
        <w:t>olennaisia</w:t>
      </w:r>
      <w:r w:rsidR="00EC04B3" w:rsidRPr="00911FA0">
        <w:t xml:space="preserve"> </w:t>
      </w:r>
      <w:r w:rsidRPr="00911FA0">
        <w:t>muutoksia, jotka edellyttävät turvallisuusluvan muuttamista etukäteen ovat:</w:t>
      </w:r>
    </w:p>
    <w:p w14:paraId="7DF5DB19" w14:textId="2174948F" w:rsidR="00777B32" w:rsidRDefault="00911FA0" w:rsidP="00624C57">
      <w:pPr>
        <w:pStyle w:val="Eivli"/>
        <w:numPr>
          <w:ilvl w:val="0"/>
          <w:numId w:val="28"/>
        </w:numPr>
      </w:pPr>
      <w:r w:rsidRPr="00911FA0">
        <w:t xml:space="preserve">muutos, jonka seurauksena jokin </w:t>
      </w:r>
      <w:r w:rsidR="00B6560A" w:rsidRPr="00B6560A">
        <w:t>16</w:t>
      </w:r>
      <w:r w:rsidRPr="00B6560A">
        <w:t xml:space="preserve"> §:</w:t>
      </w:r>
      <w:r w:rsidR="00777B32" w:rsidRPr="00B6560A">
        <w:t>ssä</w:t>
      </w:r>
      <w:r w:rsidR="00777B32" w:rsidRPr="00911FA0">
        <w:t xml:space="preserve"> </w:t>
      </w:r>
      <w:r w:rsidRPr="00911FA0">
        <w:t>tarkoitetuista säteilytoimin</w:t>
      </w:r>
      <w:r w:rsidR="00471E40">
        <w:t>taa koskevista</w:t>
      </w:r>
      <w:r w:rsidRPr="00911FA0">
        <w:t xml:space="preserve"> luokista muuttuu luokkaan 1 luokasta 2 tai 3, tai luokkaan 2 luokasta 3;</w:t>
      </w:r>
    </w:p>
    <w:p w14:paraId="58DD7645" w14:textId="77777777" w:rsidR="00777B32" w:rsidRDefault="00911FA0" w:rsidP="00624C57">
      <w:pPr>
        <w:pStyle w:val="Eivli"/>
        <w:numPr>
          <w:ilvl w:val="0"/>
          <w:numId w:val="28"/>
        </w:numPr>
      </w:pPr>
      <w:r w:rsidRPr="00911FA0">
        <w:t>säteilyturvallisuusvastaavan vaihtuminen tai muu merkittävä muutos johtamisjärjestelmässä;</w:t>
      </w:r>
    </w:p>
    <w:p w14:paraId="7DFA66D6" w14:textId="77777777" w:rsidR="00777B32" w:rsidRDefault="00911FA0" w:rsidP="00624C57">
      <w:pPr>
        <w:pStyle w:val="Eivli"/>
        <w:numPr>
          <w:ilvl w:val="0"/>
          <w:numId w:val="28"/>
        </w:numPr>
      </w:pPr>
      <w:r w:rsidRPr="00911FA0">
        <w:t>korkea-aktiivisen umpilähteen käyttöön ottaminen;</w:t>
      </w:r>
    </w:p>
    <w:p w14:paraId="02700724" w14:textId="77777777" w:rsidR="00777B32" w:rsidRDefault="00911FA0" w:rsidP="00624C57">
      <w:pPr>
        <w:pStyle w:val="Eivli"/>
        <w:numPr>
          <w:ilvl w:val="0"/>
          <w:numId w:val="28"/>
        </w:numPr>
      </w:pPr>
      <w:r w:rsidRPr="00911FA0">
        <w:t>hoitotarkoitukseen käytettävän säteilylaitteen käyttöön ottaminen;</w:t>
      </w:r>
    </w:p>
    <w:p w14:paraId="780E0264" w14:textId="1A2FFC45" w:rsidR="00777B32" w:rsidRDefault="00911FA0" w:rsidP="00624C57">
      <w:pPr>
        <w:pStyle w:val="Eivli"/>
        <w:numPr>
          <w:ilvl w:val="0"/>
          <w:numId w:val="28"/>
        </w:numPr>
      </w:pPr>
      <w:r w:rsidRPr="00911FA0">
        <w:t xml:space="preserve">muun </w:t>
      </w:r>
      <w:r w:rsidR="00D82698">
        <w:t>säteilylaitteen tai radioaktiivisen aineen</w:t>
      </w:r>
      <w:r w:rsidRPr="00911FA0">
        <w:t xml:space="preserve"> kuin </w:t>
      </w:r>
      <w:r w:rsidR="00B6560A" w:rsidRPr="00B6560A">
        <w:t>26 §</w:t>
      </w:r>
      <w:r w:rsidR="00560D7E">
        <w:t>:</w:t>
      </w:r>
      <w:r w:rsidRPr="00B6560A">
        <w:t xml:space="preserve">n 1 momentin </w:t>
      </w:r>
      <w:r w:rsidR="00B6560A" w:rsidRPr="00B6560A">
        <w:t>4</w:t>
      </w:r>
      <w:r w:rsidRPr="00B6560A">
        <w:t xml:space="preserve"> kohdassa</w:t>
      </w:r>
      <w:r w:rsidRPr="00911FA0">
        <w:t xml:space="preserve"> tarkoitetun säteilylähteen käyttöön ottaminen;</w:t>
      </w:r>
    </w:p>
    <w:p w14:paraId="17E4C7E7" w14:textId="6D5070A5" w:rsidR="00777B32" w:rsidRDefault="00911FA0" w:rsidP="00624C57">
      <w:pPr>
        <w:pStyle w:val="Eivli"/>
        <w:numPr>
          <w:ilvl w:val="0"/>
          <w:numId w:val="28"/>
        </w:numPr>
      </w:pPr>
      <w:r w:rsidRPr="00911FA0">
        <w:t>säteilylähteen käyttäminen muuhun tarkoitukseen kuin</w:t>
      </w:r>
      <w:r w:rsidR="00E027DD">
        <w:t>,</w:t>
      </w:r>
      <w:r w:rsidRPr="00911FA0">
        <w:t xml:space="preserve"> mihin lupa on myönnetty;</w:t>
      </w:r>
    </w:p>
    <w:p w14:paraId="751A89F4" w14:textId="77777777" w:rsidR="00777B32" w:rsidRDefault="00911FA0" w:rsidP="00624C57">
      <w:pPr>
        <w:pStyle w:val="Eivli"/>
        <w:numPr>
          <w:ilvl w:val="0"/>
          <w:numId w:val="28"/>
        </w:numPr>
      </w:pPr>
      <w:r w:rsidRPr="00911FA0">
        <w:t>toiminnan harjoittamispaikan muuttuminen;</w:t>
      </w:r>
    </w:p>
    <w:p w14:paraId="31545A89" w14:textId="7C5F4921" w:rsidR="00777B32" w:rsidRDefault="00911FA0" w:rsidP="00624C57">
      <w:pPr>
        <w:pStyle w:val="Eivli"/>
        <w:numPr>
          <w:ilvl w:val="0"/>
          <w:numId w:val="28"/>
        </w:numPr>
      </w:pPr>
      <w:r w:rsidRPr="00911FA0">
        <w:t xml:space="preserve">toiminnan muuttaminen siten, että radioaktiivisten jätteiden tai </w:t>
      </w:r>
      <w:r w:rsidR="00777B32" w:rsidRPr="00B56B3D">
        <w:t xml:space="preserve">säteilylain </w:t>
      </w:r>
      <w:r w:rsidR="00A20051" w:rsidRPr="00B56B3D">
        <w:t xml:space="preserve">74 </w:t>
      </w:r>
      <w:r w:rsidRPr="00B56B3D">
        <w:t>§</w:t>
      </w:r>
      <w:r w:rsidR="00153DF1" w:rsidRPr="00B56B3D">
        <w:t>:n</w:t>
      </w:r>
      <w:r w:rsidRPr="00B56B3D">
        <w:t xml:space="preserve"> 3 momentissa</w:t>
      </w:r>
      <w:r w:rsidRPr="00911FA0">
        <w:t xml:space="preserve"> tarkoitettujen jätteiden </w:t>
      </w:r>
      <w:r w:rsidR="00D919C6">
        <w:t>määrä, laatu</w:t>
      </w:r>
      <w:r w:rsidRPr="00911FA0">
        <w:t xml:space="preserve"> tai niitä koskevat järjestelyt muuttuvat;</w:t>
      </w:r>
    </w:p>
    <w:p w14:paraId="4C5C3D22" w14:textId="4ED08424" w:rsidR="00911FA0" w:rsidRDefault="00911FA0" w:rsidP="00624C57">
      <w:pPr>
        <w:pStyle w:val="Eivli"/>
        <w:numPr>
          <w:ilvl w:val="0"/>
          <w:numId w:val="28"/>
        </w:numPr>
      </w:pPr>
      <w:r w:rsidRPr="00911FA0">
        <w:t>toiminnan muuttaminen siten, että pä</w:t>
      </w:r>
      <w:r w:rsidR="00777B32">
        <w:t>ästöjen määrä tai laatu muuttuu.</w:t>
      </w:r>
    </w:p>
    <w:p w14:paraId="09A21354" w14:textId="77777777" w:rsidR="00911FA0" w:rsidRPr="00911FA0" w:rsidRDefault="00911FA0" w:rsidP="00911FA0">
      <w:pPr>
        <w:pStyle w:val="Eivli"/>
      </w:pPr>
    </w:p>
    <w:p w14:paraId="75B15030" w14:textId="77777777" w:rsidR="00911FA0" w:rsidRDefault="00911FA0" w:rsidP="002D3AAC">
      <w:pPr>
        <w:pStyle w:val="Eivli"/>
      </w:pPr>
    </w:p>
    <w:p w14:paraId="37394D91" w14:textId="11B1404C" w:rsidR="00777B32" w:rsidRDefault="00C66DC3" w:rsidP="002D2B25">
      <w:pPr>
        <w:pStyle w:val="Eivli"/>
        <w:jc w:val="center"/>
      </w:pPr>
      <w:r>
        <w:t xml:space="preserve">26 </w:t>
      </w:r>
      <w:r w:rsidR="002D2B25">
        <w:t>§</w:t>
      </w:r>
    </w:p>
    <w:p w14:paraId="1092E2D2" w14:textId="00706673" w:rsidR="002D2B25" w:rsidRDefault="002D2B25" w:rsidP="002D2B25">
      <w:pPr>
        <w:pStyle w:val="Eivli"/>
        <w:jc w:val="center"/>
      </w:pPr>
      <w:r w:rsidRPr="002D2B25">
        <w:rPr>
          <w:i/>
        </w:rPr>
        <w:t>Turvallisuuslupaa edellyttävän toiminnan muutoksista ilmoittaminen</w:t>
      </w:r>
    </w:p>
    <w:p w14:paraId="7F4188AF" w14:textId="77777777" w:rsidR="002D2B25" w:rsidRDefault="002D2B25" w:rsidP="002D2B25">
      <w:pPr>
        <w:pStyle w:val="Eivli"/>
      </w:pPr>
    </w:p>
    <w:p w14:paraId="4D7C7BB0" w14:textId="77777777" w:rsidR="002D2B25" w:rsidRDefault="002D2B25" w:rsidP="002D2B25">
      <w:pPr>
        <w:pStyle w:val="Eivli"/>
      </w:pPr>
      <w:r w:rsidRPr="002D2B25">
        <w:t>Turvallisuuslupaa edellyttävän toiminnan muutoksia, joista on ilmoitettava Säteilyturvakeskukselle kahden viikon kuluessa muutoksesta, ovat:</w:t>
      </w:r>
    </w:p>
    <w:p w14:paraId="2A914CB5" w14:textId="2A503025" w:rsidR="002D2B25" w:rsidRDefault="002D2B25" w:rsidP="00624C57">
      <w:pPr>
        <w:pStyle w:val="Eivli"/>
        <w:numPr>
          <w:ilvl w:val="0"/>
          <w:numId w:val="29"/>
        </w:numPr>
      </w:pPr>
      <w:r w:rsidRPr="002D2B25">
        <w:t>turvallisuusluvanhaltijan vaihtuminen;</w:t>
      </w:r>
    </w:p>
    <w:p w14:paraId="5C7CCF88" w14:textId="77777777" w:rsidR="002D2B25" w:rsidRDefault="002D2B25" w:rsidP="00624C57">
      <w:pPr>
        <w:pStyle w:val="Eivli"/>
        <w:numPr>
          <w:ilvl w:val="0"/>
          <w:numId w:val="29"/>
        </w:numPr>
      </w:pPr>
      <w:r w:rsidRPr="002D2B25">
        <w:t>turvallisuusluvanhaltijan yhteystietojen muutos;</w:t>
      </w:r>
    </w:p>
    <w:p w14:paraId="27E4B660" w14:textId="67037AAB" w:rsidR="002D2B25" w:rsidRDefault="002D2B25" w:rsidP="00624C57">
      <w:pPr>
        <w:pStyle w:val="Eivli"/>
        <w:numPr>
          <w:ilvl w:val="0"/>
          <w:numId w:val="29"/>
        </w:numPr>
      </w:pPr>
      <w:r w:rsidRPr="002D2B25">
        <w:t xml:space="preserve">muutos, jonka seurauksena jokin </w:t>
      </w:r>
      <w:r w:rsidR="00B6560A" w:rsidRPr="00B6560A">
        <w:t>16</w:t>
      </w:r>
      <w:r w:rsidRPr="00B6560A">
        <w:t xml:space="preserve"> §:ssä</w:t>
      </w:r>
      <w:r>
        <w:t xml:space="preserve"> </w:t>
      </w:r>
      <w:r w:rsidRPr="002D2B25">
        <w:t>tarkoitetuista säteilytoiminnan luokista muuttuu luokkaan 3 luokasta 2 tai 1, tai luokkaan 2 luokasta 1;</w:t>
      </w:r>
    </w:p>
    <w:p w14:paraId="77DB4695" w14:textId="5E7BAD12" w:rsidR="00B56B3D" w:rsidRDefault="002D2B25" w:rsidP="00624C57">
      <w:pPr>
        <w:pStyle w:val="Eivli"/>
        <w:numPr>
          <w:ilvl w:val="0"/>
          <w:numId w:val="29"/>
        </w:numPr>
      </w:pPr>
      <w:r w:rsidRPr="002D2B25">
        <w:t>muun säteily</w:t>
      </w:r>
      <w:r w:rsidR="00D82698">
        <w:t xml:space="preserve">laitteen tai umpilähteen </w:t>
      </w:r>
      <w:r w:rsidRPr="002D2B25">
        <w:t>kuin korkea-aktiivisen umpilähteen tai hoitotarkoitukseen käytettävän säteily</w:t>
      </w:r>
      <w:r w:rsidR="00D82698">
        <w:t>laitteen</w:t>
      </w:r>
      <w:r w:rsidRPr="002D2B25">
        <w:t xml:space="preserve"> ottaminen turvallisuusluvan mukaiseen käyttöön, </w:t>
      </w:r>
      <w:r w:rsidR="009D0792">
        <w:t>jos</w:t>
      </w:r>
      <w:r w:rsidR="009D0792" w:rsidRPr="002D2B25">
        <w:t xml:space="preserve"> </w:t>
      </w:r>
      <w:r w:rsidRPr="002D2B25">
        <w:t>se on säteily- ja säteilyturvallisuusominaisuuksiltaan samanlainen kuin mitä toiminnassa on jo käytössä ja jonka käytön aikainen säteilyturvallisuus ei edellytä rakenteellisia suojauksia tai käyttöpaikkaan liittyviä järjestelyitä;</w:t>
      </w:r>
    </w:p>
    <w:p w14:paraId="0B0B6A62" w14:textId="06CCD4E9" w:rsidR="00B56B3D" w:rsidRDefault="00B56B3D" w:rsidP="00624C57">
      <w:pPr>
        <w:pStyle w:val="Eivli"/>
        <w:numPr>
          <w:ilvl w:val="0"/>
          <w:numId w:val="29"/>
        </w:numPr>
      </w:pPr>
      <w:r>
        <w:t>sädehoidon laadunvarmistusohjelman merkittävä muutos;</w:t>
      </w:r>
    </w:p>
    <w:p w14:paraId="374799C3" w14:textId="77777777" w:rsidR="002D2B25" w:rsidRDefault="002D2B25" w:rsidP="00624C57">
      <w:pPr>
        <w:pStyle w:val="Eivli"/>
        <w:numPr>
          <w:ilvl w:val="0"/>
          <w:numId w:val="29"/>
        </w:numPr>
      </w:pPr>
      <w:r w:rsidRPr="002D2B25">
        <w:t>säteilylähteen poistaminen käytöstä;</w:t>
      </w:r>
    </w:p>
    <w:p w14:paraId="6D73CD96" w14:textId="4767B999" w:rsidR="00B56B3D" w:rsidRDefault="002D2B25" w:rsidP="00624C57">
      <w:pPr>
        <w:pStyle w:val="Eivli"/>
        <w:numPr>
          <w:ilvl w:val="0"/>
          <w:numId w:val="29"/>
        </w:numPr>
      </w:pPr>
      <w:r w:rsidRPr="002D2B25">
        <w:t>säteilytoiminnan lopettaminen osittain tai kokonaan</w:t>
      </w:r>
      <w:r w:rsidR="00B56B3D">
        <w:t>.</w:t>
      </w:r>
    </w:p>
    <w:p w14:paraId="26F2C701" w14:textId="4E063F0F" w:rsidR="002D2B25" w:rsidRDefault="002D2B25" w:rsidP="00B56B3D">
      <w:pPr>
        <w:pStyle w:val="Eivli"/>
      </w:pPr>
    </w:p>
    <w:p w14:paraId="4B6A3842" w14:textId="49AB6AFF" w:rsidR="002D2B25" w:rsidRPr="002D2B25" w:rsidRDefault="002D2B25" w:rsidP="002D2B25">
      <w:pPr>
        <w:pStyle w:val="Eivli"/>
      </w:pPr>
      <w:r>
        <w:t>T</w:t>
      </w:r>
      <w:r w:rsidRPr="002D2B25">
        <w:t xml:space="preserve">urvallisuusluvanhaltijan vaihtumista koskevaan ilmoitukseen on liitettävä </w:t>
      </w:r>
      <w:r w:rsidR="004E447A">
        <w:t xml:space="preserve">sen </w:t>
      </w:r>
      <w:r w:rsidRPr="002D2B25">
        <w:t>virkatodistus tai ote asianomaisesta rekisteristä</w:t>
      </w:r>
      <w:r w:rsidR="004E447A">
        <w:t>, jolle toiminta siirtyy</w:t>
      </w:r>
      <w:r w:rsidRPr="002D2B25">
        <w:t xml:space="preserve">. Säteilylähteen käyttöönottamista koskevaan ilmoitukseen on liitettävä lähdettä koskevat </w:t>
      </w:r>
      <w:r w:rsidR="00560D7E">
        <w:t>l</w:t>
      </w:r>
      <w:r w:rsidR="00161841">
        <w:t>iittee</w:t>
      </w:r>
      <w:r w:rsidR="00560D7E">
        <w:t xml:space="preserve">ssä </w:t>
      </w:r>
      <w:r w:rsidR="00161841">
        <w:t xml:space="preserve">4 </w:t>
      </w:r>
      <w:r w:rsidR="00560D7E">
        <w:t xml:space="preserve">olevassa 2 ja 3 </w:t>
      </w:r>
      <w:r w:rsidR="00161841">
        <w:t>kohd</w:t>
      </w:r>
      <w:r w:rsidR="00560D7E">
        <w:t>a</w:t>
      </w:r>
      <w:r w:rsidR="00161841">
        <w:t xml:space="preserve">ssa </w:t>
      </w:r>
      <w:r w:rsidR="001110CC">
        <w:t>tarkoitetut tiedot</w:t>
      </w:r>
      <w:r>
        <w:t>.</w:t>
      </w:r>
    </w:p>
    <w:p w14:paraId="44FD1F42" w14:textId="77777777" w:rsidR="002D2B25" w:rsidRPr="002D2B25" w:rsidRDefault="002D2B25" w:rsidP="002D2B25">
      <w:pPr>
        <w:pStyle w:val="Eivli"/>
      </w:pPr>
    </w:p>
    <w:p w14:paraId="77058632" w14:textId="3DA4F44E" w:rsidR="002D2B25" w:rsidRDefault="002D2B25" w:rsidP="002D2B25">
      <w:pPr>
        <w:pStyle w:val="Eivli"/>
      </w:pPr>
      <w:r w:rsidRPr="002D2B25">
        <w:lastRenderedPageBreak/>
        <w:t>Jos säteilylähde, jonka hallussapito edellyttää turvallisuuslupaa, poistetaan käytöstä luovuttamalla se toiselle, käytöstä poistamista koskevaan ilmoitukseen on liitettävä vastaanottajan antama todistus säteilylähteen haltuunotosta.</w:t>
      </w:r>
    </w:p>
    <w:p w14:paraId="1C286C7A" w14:textId="77777777" w:rsidR="002D2B25" w:rsidRDefault="002D2B25" w:rsidP="002D2B25">
      <w:pPr>
        <w:pStyle w:val="Eivli"/>
      </w:pPr>
    </w:p>
    <w:p w14:paraId="4E848203" w14:textId="5E80FC6C" w:rsidR="005819BF" w:rsidRDefault="005819BF" w:rsidP="002D2B25">
      <w:pPr>
        <w:pStyle w:val="Eivli"/>
      </w:pPr>
    </w:p>
    <w:p w14:paraId="53C4E9C3" w14:textId="5E92AC7D" w:rsidR="001617A0" w:rsidRDefault="00C66DC3" w:rsidP="007B2C67">
      <w:pPr>
        <w:pStyle w:val="Eivli"/>
        <w:jc w:val="center"/>
      </w:pPr>
      <w:r>
        <w:t xml:space="preserve">27 </w:t>
      </w:r>
      <w:r w:rsidR="001617A0">
        <w:t>§</w:t>
      </w:r>
    </w:p>
    <w:p w14:paraId="55EC6AE0" w14:textId="17343CED" w:rsidR="005819BF" w:rsidRPr="003864E6" w:rsidRDefault="005819BF" w:rsidP="003864E6">
      <w:pPr>
        <w:pStyle w:val="Eivli"/>
        <w:jc w:val="center"/>
        <w:rPr>
          <w:i/>
        </w:rPr>
      </w:pPr>
      <w:r w:rsidRPr="007B2C67">
        <w:rPr>
          <w:i/>
        </w:rPr>
        <w:t>Turvallisuusluv</w:t>
      </w:r>
      <w:r>
        <w:rPr>
          <w:i/>
        </w:rPr>
        <w:t>asta vapauttamisen edellytykset</w:t>
      </w:r>
    </w:p>
    <w:p w14:paraId="61DE2BD9" w14:textId="77777777" w:rsidR="008505DD" w:rsidRDefault="008505DD" w:rsidP="008505DD">
      <w:pPr>
        <w:pStyle w:val="Eivli"/>
        <w:rPr>
          <w:rFonts w:eastAsiaTheme="minorHAnsi" w:cs="EUAlbertina"/>
          <w:color w:val="000000"/>
        </w:rPr>
      </w:pPr>
    </w:p>
    <w:p w14:paraId="0005160A" w14:textId="3EEEB934" w:rsidR="008505DD" w:rsidRDefault="004E447A" w:rsidP="008505DD">
      <w:pPr>
        <w:pStyle w:val="Eivli"/>
        <w:rPr>
          <w:rFonts w:eastAsiaTheme="minorHAnsi" w:cs="EUAlbertina"/>
          <w:color w:val="000000"/>
        </w:rPr>
      </w:pPr>
      <w:r>
        <w:rPr>
          <w:rFonts w:eastAsiaTheme="minorHAnsi" w:cs="EUAlbertina"/>
          <w:color w:val="000000"/>
        </w:rPr>
        <w:t xml:space="preserve">Toiminta </w:t>
      </w:r>
      <w:r w:rsidR="00841EAA">
        <w:rPr>
          <w:rFonts w:eastAsiaTheme="minorHAnsi" w:cs="EUAlbertina"/>
          <w:color w:val="000000"/>
        </w:rPr>
        <w:t xml:space="preserve">on säteilylain 46 §:n 1 momentin 3 kohdassa tarkoitetulla tavalla lähtökohtaisesti turvallista, jos </w:t>
      </w:r>
      <w:r w:rsidR="001617A0" w:rsidRPr="001617A0">
        <w:rPr>
          <w:rFonts w:eastAsiaTheme="minorHAnsi" w:cs="EUAlbertina"/>
          <w:color w:val="000000"/>
        </w:rPr>
        <w:t>työntekijöitä ei tarvitse luokitella säteilytyö</w:t>
      </w:r>
      <w:r w:rsidR="0035606F">
        <w:rPr>
          <w:rFonts w:eastAsiaTheme="minorHAnsi" w:cs="EUAlbertina"/>
          <w:color w:val="000000"/>
        </w:rPr>
        <w:t>n</w:t>
      </w:r>
      <w:r w:rsidR="001617A0" w:rsidRPr="001617A0">
        <w:rPr>
          <w:rFonts w:eastAsiaTheme="minorHAnsi" w:cs="EUAlbertina"/>
          <w:color w:val="000000"/>
        </w:rPr>
        <w:t xml:space="preserve">tekijöiksi ja väestölle aiheutuva annos </w:t>
      </w:r>
      <w:r w:rsidR="001617A0">
        <w:rPr>
          <w:rFonts w:eastAsiaTheme="minorHAnsi" w:cs="EUAlbertina"/>
          <w:color w:val="000000"/>
        </w:rPr>
        <w:t>on</w:t>
      </w:r>
      <w:r w:rsidR="001617A0" w:rsidRPr="001617A0">
        <w:rPr>
          <w:rFonts w:eastAsiaTheme="minorHAnsi" w:cs="EUAlbertina"/>
          <w:color w:val="000000"/>
        </w:rPr>
        <w:t xml:space="preserve"> enintään suuruusluokkaa:</w:t>
      </w:r>
    </w:p>
    <w:p w14:paraId="43EC02AE" w14:textId="77777777" w:rsidR="001617A0" w:rsidRPr="001617A0" w:rsidRDefault="001617A0" w:rsidP="000B2864">
      <w:pPr>
        <w:pStyle w:val="Eivli"/>
        <w:numPr>
          <w:ilvl w:val="0"/>
          <w:numId w:val="46"/>
        </w:numPr>
        <w:rPr>
          <w:rFonts w:eastAsiaTheme="minorHAnsi" w:cs="EUAlbertina"/>
          <w:color w:val="000000"/>
        </w:rPr>
      </w:pPr>
      <w:r w:rsidRPr="001617A0">
        <w:rPr>
          <w:rFonts w:eastAsiaTheme="minorHAnsi" w:cs="EUAlbertina"/>
          <w:color w:val="000000"/>
        </w:rPr>
        <w:t xml:space="preserve">10 </w:t>
      </w:r>
      <w:r w:rsidR="003864E6">
        <w:rPr>
          <w:rFonts w:eastAsiaTheme="minorHAnsi" w:cs="EUAlbertina"/>
          <w:color w:val="000000"/>
        </w:rPr>
        <w:t>mikrosievert</w:t>
      </w:r>
      <w:r w:rsidRPr="001617A0">
        <w:rPr>
          <w:rFonts w:eastAsiaTheme="minorHAnsi" w:cs="EUAlbertina"/>
          <w:color w:val="000000"/>
        </w:rPr>
        <w:t>iä vuodessa</w:t>
      </w:r>
      <w:r>
        <w:rPr>
          <w:rFonts w:eastAsiaTheme="minorHAnsi" w:cs="EUAlbertina"/>
          <w:color w:val="000000"/>
        </w:rPr>
        <w:t xml:space="preserve"> </w:t>
      </w:r>
      <w:r w:rsidRPr="001617A0">
        <w:rPr>
          <w:rFonts w:eastAsiaTheme="minorHAnsi" w:cs="EUAlbertina"/>
          <w:color w:val="000000"/>
        </w:rPr>
        <w:t>keinotekoisista radioaktiivisista aineista</w:t>
      </w:r>
      <w:r>
        <w:rPr>
          <w:rFonts w:eastAsiaTheme="minorHAnsi" w:cs="EUAlbertina"/>
          <w:color w:val="000000"/>
        </w:rPr>
        <w:t>;</w:t>
      </w:r>
    </w:p>
    <w:p w14:paraId="3D8CB05B" w14:textId="502FB5E3" w:rsidR="001617A0" w:rsidRPr="001617A0" w:rsidRDefault="001617A0" w:rsidP="000B2864">
      <w:pPr>
        <w:pStyle w:val="Eivli"/>
        <w:numPr>
          <w:ilvl w:val="0"/>
          <w:numId w:val="46"/>
        </w:numPr>
        <w:rPr>
          <w:rFonts w:eastAsiaTheme="minorHAnsi" w:cs="EUAlbertina"/>
          <w:color w:val="000000"/>
        </w:rPr>
      </w:pPr>
      <w:r w:rsidRPr="001617A0">
        <w:rPr>
          <w:rFonts w:eastAsiaTheme="minorHAnsi" w:cs="EUAlbertina"/>
          <w:color w:val="000000"/>
        </w:rPr>
        <w:t xml:space="preserve">1 </w:t>
      </w:r>
      <w:r w:rsidR="003864E6">
        <w:rPr>
          <w:rFonts w:eastAsiaTheme="minorHAnsi" w:cs="EUAlbertina"/>
          <w:color w:val="000000"/>
        </w:rPr>
        <w:t>millisievert</w:t>
      </w:r>
      <w:r w:rsidRPr="001617A0">
        <w:rPr>
          <w:rFonts w:eastAsiaTheme="minorHAnsi" w:cs="EUAlbertina"/>
          <w:color w:val="000000"/>
        </w:rPr>
        <w:t xml:space="preserve"> vuodessa luonnon radioaktiivisista aineista.</w:t>
      </w:r>
    </w:p>
    <w:p w14:paraId="5956657A" w14:textId="77777777" w:rsidR="001617A0" w:rsidRPr="001617A0" w:rsidRDefault="001617A0" w:rsidP="008505DD">
      <w:pPr>
        <w:pStyle w:val="Eivli"/>
        <w:rPr>
          <w:rFonts w:eastAsiaTheme="minorHAnsi" w:cs="EUAlbertina"/>
          <w:color w:val="000000"/>
        </w:rPr>
      </w:pPr>
    </w:p>
    <w:p w14:paraId="627FF207" w14:textId="795240DA" w:rsidR="001617A0" w:rsidRPr="001617A0" w:rsidRDefault="001617A0" w:rsidP="008505DD">
      <w:pPr>
        <w:pStyle w:val="Eivli"/>
        <w:rPr>
          <w:rFonts w:eastAsiaTheme="minorHAnsi" w:cs="EUAlbertina"/>
          <w:color w:val="000000"/>
        </w:rPr>
      </w:pPr>
      <w:r w:rsidRPr="001617A0">
        <w:rPr>
          <w:rFonts w:eastAsiaTheme="minorHAnsi" w:cs="EUAlbertina"/>
          <w:color w:val="000000"/>
        </w:rPr>
        <w:t>Luonnon radioaktiivisista aineista aiheutuvaa annosta arvioitaessa huomioidaan se lisäys, jonka toiminta aiheuttaa vallitsevan taustasäteilyn aiheuttamaan annokseen.</w:t>
      </w:r>
    </w:p>
    <w:p w14:paraId="6174E848" w14:textId="77777777" w:rsidR="001617A0" w:rsidRPr="001617A0" w:rsidRDefault="001617A0" w:rsidP="001617A0">
      <w:pPr>
        <w:spacing w:after="0" w:line="240" w:lineRule="auto"/>
        <w:jc w:val="both"/>
        <w:rPr>
          <w:rFonts w:eastAsiaTheme="minorHAnsi" w:cs="EUAlbertina"/>
          <w:color w:val="000000"/>
        </w:rPr>
      </w:pPr>
    </w:p>
    <w:p w14:paraId="2C618CFE" w14:textId="516195CA" w:rsidR="00777B32" w:rsidRPr="003864E6" w:rsidRDefault="00777B32" w:rsidP="003864E6">
      <w:pPr>
        <w:spacing w:after="0" w:line="240" w:lineRule="auto"/>
        <w:jc w:val="both"/>
        <w:rPr>
          <w:rFonts w:eastAsiaTheme="minorHAnsi"/>
          <w:color w:val="000000"/>
        </w:rPr>
      </w:pPr>
    </w:p>
    <w:p w14:paraId="2989BC00" w14:textId="7DFDD754" w:rsidR="002D2B25" w:rsidRDefault="00C66DC3" w:rsidP="002D2B25">
      <w:pPr>
        <w:pStyle w:val="Eivli"/>
        <w:jc w:val="center"/>
      </w:pPr>
      <w:r>
        <w:t xml:space="preserve">28 </w:t>
      </w:r>
      <w:r w:rsidR="002D2B25">
        <w:t>§</w:t>
      </w:r>
    </w:p>
    <w:p w14:paraId="69DF148C" w14:textId="7D78DAF0" w:rsidR="002D2B25" w:rsidRDefault="002D2B25" w:rsidP="002D2B25">
      <w:pPr>
        <w:pStyle w:val="Eivli"/>
        <w:jc w:val="center"/>
        <w:rPr>
          <w:i/>
        </w:rPr>
      </w:pPr>
      <w:r>
        <w:rPr>
          <w:i/>
        </w:rPr>
        <w:t>Vakuuden asettaminen</w:t>
      </w:r>
    </w:p>
    <w:p w14:paraId="718B062D" w14:textId="77777777" w:rsidR="002D2B25" w:rsidRDefault="002D2B25" w:rsidP="002D2B25">
      <w:pPr>
        <w:pStyle w:val="Eivli"/>
      </w:pPr>
    </w:p>
    <w:p w14:paraId="20742D4A" w14:textId="454FD7AC" w:rsidR="002D2B25" w:rsidRDefault="002D2B25" w:rsidP="002D2B25">
      <w:pPr>
        <w:pStyle w:val="Eivli"/>
      </w:pPr>
      <w:r w:rsidRPr="002D2B25">
        <w:t xml:space="preserve">Säteilylain </w:t>
      </w:r>
      <w:r w:rsidR="00471E40" w:rsidRPr="00310215">
        <w:t>50</w:t>
      </w:r>
      <w:r w:rsidRPr="00310215">
        <w:t xml:space="preserve"> §:n</w:t>
      </w:r>
      <w:r w:rsidR="002C5634" w:rsidRPr="00310215">
        <w:t xml:space="preserve"> 1 momentin</w:t>
      </w:r>
      <w:r w:rsidRPr="00310215">
        <w:t xml:space="preserve"> 1</w:t>
      </w:r>
      <w:r w:rsidR="00053A4B">
        <w:t>–</w:t>
      </w:r>
      <w:r w:rsidR="00471E40" w:rsidRPr="00310215">
        <w:t>3</w:t>
      </w:r>
      <w:r w:rsidRPr="00310215">
        <w:t xml:space="preserve"> kohd</w:t>
      </w:r>
      <w:r w:rsidR="00310215">
        <w:t>a</w:t>
      </w:r>
      <w:r w:rsidRPr="00310215">
        <w:t>ssa</w:t>
      </w:r>
      <w:r w:rsidRPr="002D2B25">
        <w:t xml:space="preserve"> </w:t>
      </w:r>
      <w:r w:rsidR="00440B9C">
        <w:t>tarkoitetussa toiminnassa</w:t>
      </w:r>
      <w:r w:rsidR="00440B9C" w:rsidRPr="002D2B25">
        <w:t xml:space="preserve"> </w:t>
      </w:r>
      <w:r w:rsidRPr="002D2B25">
        <w:t xml:space="preserve">vakuuden perusmaksu on 10 000 euroa. Lisämaksu on 1 </w:t>
      </w:r>
      <w:r w:rsidR="00501A31">
        <w:t>5</w:t>
      </w:r>
      <w:r w:rsidRPr="002D2B25">
        <w:t>00 euroa maksuyksikköä kohti.</w:t>
      </w:r>
    </w:p>
    <w:p w14:paraId="23FA2C5A" w14:textId="77777777" w:rsidR="002D2B25" w:rsidRPr="002D2B25" w:rsidRDefault="002D2B25" w:rsidP="002D2B25">
      <w:pPr>
        <w:pStyle w:val="Eivli"/>
      </w:pPr>
    </w:p>
    <w:p w14:paraId="4C14FB46" w14:textId="5034A236" w:rsidR="002D2B25" w:rsidRPr="002D2B25" w:rsidRDefault="002D2B25" w:rsidP="002D2B25">
      <w:pPr>
        <w:pStyle w:val="Eivli"/>
      </w:pPr>
      <w:r w:rsidRPr="002D2B25">
        <w:t xml:space="preserve">Maksuyksiköiden määrä lasketaan jakamalla kyseisen korkea-aktiivisen umpilähteen, kerralla hallussa pidettävän radioaktiivisen aineen </w:t>
      </w:r>
      <w:r w:rsidR="00471E40">
        <w:t xml:space="preserve">tai vuosittain poistettavien </w:t>
      </w:r>
      <w:r w:rsidR="00F00A3D">
        <w:t xml:space="preserve">umpilähteiden </w:t>
      </w:r>
      <w:r w:rsidRPr="002D2B25">
        <w:t>nuklidikohtaisesti yhteen lasketun aktiivisuuden osoittava luku luvulla, joka on korkea-aktiivisen umpilähteen aktiivisuu</w:t>
      </w:r>
      <w:r w:rsidR="00310215">
        <w:t>den arvo</w:t>
      </w:r>
      <w:r w:rsidRPr="002D2B25">
        <w:t xml:space="preserve"> kaksikymmen</w:t>
      </w:r>
      <w:r w:rsidR="00501A31">
        <w:t>tä</w:t>
      </w:r>
      <w:r w:rsidRPr="002D2B25">
        <w:t>kertaisena.</w:t>
      </w:r>
    </w:p>
    <w:p w14:paraId="039D279E" w14:textId="77777777" w:rsidR="002D2B25" w:rsidRDefault="002D2B25" w:rsidP="002D3AAC">
      <w:pPr>
        <w:pStyle w:val="Eivli"/>
      </w:pPr>
    </w:p>
    <w:p w14:paraId="667012CF" w14:textId="1C126A66" w:rsidR="002D2B25" w:rsidRDefault="004D61DE" w:rsidP="002D3AAC">
      <w:pPr>
        <w:pStyle w:val="Eivli"/>
      </w:pPr>
      <w:r>
        <w:t>Säteilyturvakeskus voi arvioida ja määrätä lisämaksun 1 momentissa säädettyä pienempänä, jos maksuyksiköiden määrä on suurempi kuin sata ja vakuus olisi toimintaan liittyviin riskeihin nähden selvästi liian suuri. Vakuus ei kuitenkaan saa olla vähemmän kuin 160 000 euroa</w:t>
      </w:r>
      <w:r w:rsidR="00B9151B">
        <w:t>.</w:t>
      </w:r>
    </w:p>
    <w:p w14:paraId="7FEBD9A6" w14:textId="77777777" w:rsidR="002D2B25" w:rsidRDefault="002D2B25" w:rsidP="002D3AAC">
      <w:pPr>
        <w:pStyle w:val="Eivli"/>
      </w:pPr>
    </w:p>
    <w:p w14:paraId="0B901F3D" w14:textId="0E3FC8D6" w:rsidR="002D2B25" w:rsidRPr="002D2B25" w:rsidRDefault="002D2B25" w:rsidP="002D2B25">
      <w:pPr>
        <w:pStyle w:val="Eivli"/>
      </w:pPr>
      <w:r w:rsidRPr="002D2B25">
        <w:t xml:space="preserve">Säteilylain </w:t>
      </w:r>
      <w:r w:rsidR="00F00A3D" w:rsidRPr="00310215">
        <w:t>50</w:t>
      </w:r>
      <w:r w:rsidRPr="00310215">
        <w:t xml:space="preserve"> §:n</w:t>
      </w:r>
      <w:r w:rsidR="002C5634" w:rsidRPr="00310215">
        <w:t xml:space="preserve"> 1 momentin</w:t>
      </w:r>
      <w:r w:rsidRPr="00310215">
        <w:t xml:space="preserve"> </w:t>
      </w:r>
      <w:r w:rsidR="00F00A3D" w:rsidRPr="00310215">
        <w:t>4</w:t>
      </w:r>
      <w:r w:rsidRPr="00310215">
        <w:t xml:space="preserve"> kohdassa</w:t>
      </w:r>
      <w:r w:rsidRPr="002D2B25">
        <w:t xml:space="preserve"> tarkoitettu</w:t>
      </w:r>
      <w:r w:rsidR="00440B9C">
        <w:t>un toimintaan</w:t>
      </w:r>
      <w:r w:rsidRPr="002D2B25">
        <w:t xml:space="preserve"> on annettava</w:t>
      </w:r>
      <w:r w:rsidR="00440B9C">
        <w:t xml:space="preserve"> vakuus</w:t>
      </w:r>
      <w:r w:rsidRPr="002D2B25">
        <w:t xml:space="preserve">, jos radioaktiivisten jätteiden vaarattomaksi tekemisestä, säteilyturvallisuuden vuoksi tarpeellisista toimenpiteistä säteilylain </w:t>
      </w:r>
      <w:r w:rsidR="00F00A3D">
        <w:t>74</w:t>
      </w:r>
      <w:r w:rsidRPr="002D2B25">
        <w:t xml:space="preserve"> §:n 3 momentissa tarkoitettujen jätteiden jätehuollossa tai tarvittavista ympäristön puhdistamistoimenpiteistä aiheutuvien kustannusten määrä arvioidaan suuremmaksi kuin 100 000 euroa.</w:t>
      </w:r>
    </w:p>
    <w:p w14:paraId="7EE19574" w14:textId="54B01CBA" w:rsidR="002D3AAC" w:rsidRDefault="002D3AAC" w:rsidP="002D3AAC">
      <w:pPr>
        <w:pStyle w:val="Eivli"/>
      </w:pPr>
    </w:p>
    <w:p w14:paraId="6C2747B9" w14:textId="77777777" w:rsidR="001F1CA7" w:rsidRDefault="001F1CA7" w:rsidP="00955175">
      <w:pPr>
        <w:pStyle w:val="Eivli"/>
      </w:pPr>
    </w:p>
    <w:p w14:paraId="77EAC63A" w14:textId="79E77B20" w:rsidR="00955175" w:rsidRDefault="00584C60" w:rsidP="00955175">
      <w:pPr>
        <w:pStyle w:val="Eivli"/>
        <w:jc w:val="center"/>
      </w:pPr>
      <w:r>
        <w:t>6</w:t>
      </w:r>
      <w:r w:rsidR="00404607">
        <w:t xml:space="preserve"> </w:t>
      </w:r>
      <w:r w:rsidR="00955175">
        <w:t>luku</w:t>
      </w:r>
    </w:p>
    <w:p w14:paraId="04C38F9E" w14:textId="08B5B245" w:rsidR="00955175" w:rsidRPr="002D3AAC" w:rsidRDefault="0032195D" w:rsidP="00955175">
      <w:pPr>
        <w:pStyle w:val="Eivli"/>
        <w:jc w:val="center"/>
        <w:rPr>
          <w:b/>
        </w:rPr>
      </w:pPr>
      <w:r>
        <w:rPr>
          <w:b/>
        </w:rPr>
        <w:t>Jätteet ja päästöt</w:t>
      </w:r>
    </w:p>
    <w:p w14:paraId="5D694D21" w14:textId="77777777" w:rsidR="00955175" w:rsidRPr="002D3AAC" w:rsidRDefault="00955175" w:rsidP="00955175">
      <w:pPr>
        <w:pStyle w:val="Eivli"/>
      </w:pPr>
    </w:p>
    <w:p w14:paraId="6B8EACB9" w14:textId="0781DB1C" w:rsidR="00955175" w:rsidRDefault="00C66DC3" w:rsidP="0032195D">
      <w:pPr>
        <w:pStyle w:val="Eivli"/>
        <w:jc w:val="center"/>
      </w:pPr>
      <w:r>
        <w:t xml:space="preserve">29 </w:t>
      </w:r>
      <w:r w:rsidR="0032195D">
        <w:t>§</w:t>
      </w:r>
    </w:p>
    <w:p w14:paraId="287CD49F" w14:textId="6BDDD095" w:rsidR="0032195D" w:rsidRDefault="0032195D" w:rsidP="0032195D">
      <w:pPr>
        <w:pStyle w:val="Eivli"/>
        <w:jc w:val="center"/>
        <w:rPr>
          <w:i/>
        </w:rPr>
      </w:pPr>
      <w:r>
        <w:rPr>
          <w:i/>
        </w:rPr>
        <w:t>Radioaktiiviset jätteet</w:t>
      </w:r>
    </w:p>
    <w:p w14:paraId="07F562D9" w14:textId="77777777" w:rsidR="0032195D" w:rsidRDefault="0032195D" w:rsidP="0032195D">
      <w:pPr>
        <w:pStyle w:val="Eivli"/>
      </w:pPr>
    </w:p>
    <w:p w14:paraId="30B0637C" w14:textId="42123468" w:rsidR="0032195D" w:rsidRDefault="0032195D" w:rsidP="0032195D">
      <w:pPr>
        <w:pStyle w:val="Eivli"/>
      </w:pPr>
      <w:r w:rsidRPr="0032195D">
        <w:t xml:space="preserve">Säteilytoiminnassa syntyvä </w:t>
      </w:r>
      <w:r w:rsidR="008C42D4">
        <w:t xml:space="preserve">kiinteä </w:t>
      </w:r>
      <w:r w:rsidRPr="0032195D">
        <w:t>jäte ei ole radioaktiivista jätettä, jos</w:t>
      </w:r>
      <w:r w:rsidR="002E0166">
        <w:t xml:space="preserve"> jätteen aktiivisuuspitoisuus on pienempi kuin</w:t>
      </w:r>
      <w:r w:rsidRPr="0032195D">
        <w:t xml:space="preserve"> vapauttamisraja.</w:t>
      </w:r>
    </w:p>
    <w:p w14:paraId="70998619" w14:textId="77777777" w:rsidR="0032195D" w:rsidRDefault="0032195D" w:rsidP="0032195D">
      <w:pPr>
        <w:pStyle w:val="Eivli"/>
      </w:pPr>
    </w:p>
    <w:p w14:paraId="56F221D5" w14:textId="5F1A873D" w:rsidR="004D61DE" w:rsidRDefault="0032195D" w:rsidP="004D61DE">
      <w:pPr>
        <w:pStyle w:val="Eivli"/>
      </w:pPr>
      <w:r w:rsidRPr="0032195D">
        <w:t xml:space="preserve">Säteilylähde ei ole radioaktiivista jätettä, jos sen aktiivisuus </w:t>
      </w:r>
      <w:r w:rsidR="00C911E2">
        <w:t xml:space="preserve">tai aktiivisuuspitoisuus </w:t>
      </w:r>
      <w:r w:rsidRPr="0032195D">
        <w:t xml:space="preserve">on pienempi kuin säteilylain </w:t>
      </w:r>
      <w:r w:rsidR="00A3463B" w:rsidRPr="00313970">
        <w:t>45</w:t>
      </w:r>
      <w:r w:rsidRPr="00313970">
        <w:t xml:space="preserve"> §:ssä</w:t>
      </w:r>
      <w:r w:rsidRPr="0032195D">
        <w:t xml:space="preserve"> tarkoitettu vapaaraja. Jos lähteessä on eri radionuklideja, tai kerrallaan käsitellään useampia lähteitä, radioaktiivista jätettä ei ole säteilylähde tai säteilylähde-erä, </w:t>
      </w:r>
      <w:r w:rsidR="004D61DE">
        <w:t>jossa nuklidikohtainen aktiivisuus tai aktiivisuuspitoisuus jaettuna vastaavalla vapaarajan arvolla kaikkien nuklidien osalta summattuna on pienempi kuin yksi.</w:t>
      </w:r>
    </w:p>
    <w:p w14:paraId="1F81C54F" w14:textId="77777777" w:rsidR="00B51CA6" w:rsidRDefault="00B51CA6" w:rsidP="00955175">
      <w:pPr>
        <w:pStyle w:val="Eivli"/>
      </w:pPr>
    </w:p>
    <w:p w14:paraId="5ADFE6A0" w14:textId="3ACDE624" w:rsidR="00161841" w:rsidRDefault="00C312DA" w:rsidP="00955175">
      <w:pPr>
        <w:pStyle w:val="Eivli"/>
      </w:pPr>
      <w:r>
        <w:lastRenderedPageBreak/>
        <w:t>S</w:t>
      </w:r>
      <w:r w:rsidR="00161841">
        <w:t xml:space="preserve">äteilylain </w:t>
      </w:r>
      <w:r w:rsidR="00560D7E" w:rsidRPr="00161841">
        <w:t>1</w:t>
      </w:r>
      <w:r w:rsidR="00560D7E">
        <w:t xml:space="preserve">24 </w:t>
      </w:r>
      <w:r w:rsidR="00161841">
        <w:t>§</w:t>
      </w:r>
      <w:r w:rsidR="00560D7E">
        <w:t xml:space="preserve">:n nojalla </w:t>
      </w:r>
      <w:r w:rsidR="00161841">
        <w:t xml:space="preserve">ympäristöön tai viemäriverkkoon </w:t>
      </w:r>
      <w:r>
        <w:t>päästetyt radioaktiiviset aineet</w:t>
      </w:r>
      <w:r w:rsidR="00161841">
        <w:t xml:space="preserve"> eivät ole radioaktiivista jätettä.</w:t>
      </w:r>
    </w:p>
    <w:p w14:paraId="5A5315D3" w14:textId="77777777" w:rsidR="008142E1" w:rsidRDefault="008142E1" w:rsidP="00955175">
      <w:pPr>
        <w:pStyle w:val="Eivli"/>
      </w:pPr>
    </w:p>
    <w:p w14:paraId="5E8BFE7E" w14:textId="77777777" w:rsidR="008142E1" w:rsidRDefault="008142E1" w:rsidP="00955175">
      <w:pPr>
        <w:pStyle w:val="Eivli"/>
      </w:pPr>
    </w:p>
    <w:p w14:paraId="6742ADEA" w14:textId="1783DDD0" w:rsidR="0032195D" w:rsidRDefault="00C66DC3" w:rsidP="0032195D">
      <w:pPr>
        <w:pStyle w:val="Eivli"/>
        <w:jc w:val="center"/>
      </w:pPr>
      <w:r>
        <w:t xml:space="preserve">30 </w:t>
      </w:r>
      <w:r w:rsidR="0032195D">
        <w:t>§</w:t>
      </w:r>
    </w:p>
    <w:p w14:paraId="36A16ED9" w14:textId="43CF9D4C" w:rsidR="0032195D" w:rsidRDefault="0032195D" w:rsidP="0032195D">
      <w:pPr>
        <w:pStyle w:val="Eivli"/>
        <w:jc w:val="center"/>
        <w:rPr>
          <w:i/>
        </w:rPr>
      </w:pPr>
      <w:r>
        <w:rPr>
          <w:i/>
        </w:rPr>
        <w:t xml:space="preserve">Muut </w:t>
      </w:r>
      <w:r w:rsidR="008D50D3">
        <w:rPr>
          <w:i/>
        </w:rPr>
        <w:t xml:space="preserve">kuin radioaktiiviset </w:t>
      </w:r>
      <w:r>
        <w:rPr>
          <w:i/>
        </w:rPr>
        <w:t>jätteet</w:t>
      </w:r>
    </w:p>
    <w:p w14:paraId="5C8530E7" w14:textId="77777777" w:rsidR="0032195D" w:rsidRPr="0032195D" w:rsidRDefault="0032195D" w:rsidP="0032195D">
      <w:pPr>
        <w:pStyle w:val="Eivli"/>
      </w:pPr>
    </w:p>
    <w:p w14:paraId="42507D4D" w14:textId="6180AF56" w:rsidR="0032195D" w:rsidRDefault="0032195D" w:rsidP="00955175">
      <w:pPr>
        <w:pStyle w:val="Eivli"/>
      </w:pPr>
      <w:r w:rsidRPr="0032195D">
        <w:t xml:space="preserve">Säteilylain </w:t>
      </w:r>
      <w:r w:rsidR="00A3463B" w:rsidRPr="00313970">
        <w:t>74</w:t>
      </w:r>
      <w:r w:rsidRPr="00313970">
        <w:t xml:space="preserve"> §:</w:t>
      </w:r>
      <w:r w:rsidR="00A3463B" w:rsidRPr="00313970">
        <w:t>n 3 momentissa</w:t>
      </w:r>
      <w:r w:rsidRPr="0032195D">
        <w:t xml:space="preserve"> tarkoitettua jätettä on luonnonsäteilylle altistavassa toiminnassa ja suojelutoimien toteuttamisessa syntynyt jäte, jonka aktiivisuuspitoisuus on suurempi kuin säteilylain </w:t>
      </w:r>
      <w:r w:rsidR="00A3463B">
        <w:t>81</w:t>
      </w:r>
      <w:r w:rsidRPr="0032195D">
        <w:t xml:space="preserve"> §:ssä tarkoitettu vapauttamisraja.</w:t>
      </w:r>
    </w:p>
    <w:p w14:paraId="1FC395E1" w14:textId="77777777" w:rsidR="00955175" w:rsidRDefault="00955175" w:rsidP="00955175">
      <w:pPr>
        <w:pStyle w:val="Eivli"/>
      </w:pPr>
    </w:p>
    <w:p w14:paraId="3D8E73B4" w14:textId="77777777" w:rsidR="00DA5A1E" w:rsidRDefault="00DA5A1E" w:rsidP="00955175">
      <w:pPr>
        <w:pStyle w:val="Eivli"/>
      </w:pPr>
    </w:p>
    <w:p w14:paraId="43FFB1F9" w14:textId="1DC8CFCC" w:rsidR="00E7710D" w:rsidRDefault="00C66DC3" w:rsidP="00E7710D">
      <w:pPr>
        <w:pStyle w:val="Eivli"/>
        <w:jc w:val="center"/>
      </w:pPr>
      <w:r>
        <w:t xml:space="preserve">31 </w:t>
      </w:r>
      <w:r w:rsidR="00E7710D">
        <w:t>§</w:t>
      </w:r>
    </w:p>
    <w:p w14:paraId="302CA5B8" w14:textId="29395F93" w:rsidR="00E7710D" w:rsidRDefault="00E7710D" w:rsidP="00E7710D">
      <w:pPr>
        <w:pStyle w:val="Eivli"/>
        <w:jc w:val="center"/>
      </w:pPr>
      <w:r>
        <w:rPr>
          <w:i/>
        </w:rPr>
        <w:t>Toissijainen huolehtimisvelvollisuus</w:t>
      </w:r>
    </w:p>
    <w:p w14:paraId="19144539" w14:textId="77777777" w:rsidR="00E7710D" w:rsidRDefault="00E7710D" w:rsidP="00E7710D">
      <w:pPr>
        <w:pStyle w:val="Eivli"/>
      </w:pPr>
    </w:p>
    <w:p w14:paraId="39B065BD" w14:textId="008067E3" w:rsidR="00E7710D" w:rsidRDefault="00E7710D" w:rsidP="00E7710D">
      <w:pPr>
        <w:pStyle w:val="Eivli"/>
      </w:pPr>
      <w:r w:rsidRPr="00E7710D">
        <w:t xml:space="preserve">Säteilyturvakeskus huolehtii, että valtiolle säteilylain </w:t>
      </w:r>
      <w:r w:rsidR="00A3463B">
        <w:t>76</w:t>
      </w:r>
      <w:r w:rsidRPr="00E7710D">
        <w:t xml:space="preserve"> §:n 1</w:t>
      </w:r>
      <w:r>
        <w:t>–</w:t>
      </w:r>
      <w:r w:rsidRPr="00E7710D">
        <w:t>3 momentissa säädetyn velvollisuuden hoitamiseen kuuluvat tehtävät suoritetaan.</w:t>
      </w:r>
    </w:p>
    <w:p w14:paraId="3F3BC8D2" w14:textId="77777777" w:rsidR="00E7710D" w:rsidRDefault="00E7710D" w:rsidP="00E7710D">
      <w:pPr>
        <w:pStyle w:val="Eivli"/>
      </w:pPr>
    </w:p>
    <w:p w14:paraId="70747B5F" w14:textId="6D5ACD63" w:rsidR="00E7710D" w:rsidRPr="00E7710D" w:rsidRDefault="00E7710D" w:rsidP="00E7710D">
      <w:pPr>
        <w:pStyle w:val="Eivli"/>
      </w:pPr>
      <w:r w:rsidRPr="00E7710D">
        <w:t>Vastuu jätteestä siirtyy valtiolle, kun jäte on luovutettu Säteilyturvakeskuksen hallintaan.</w:t>
      </w:r>
    </w:p>
    <w:p w14:paraId="4F06CC8C" w14:textId="77777777" w:rsidR="00E7710D" w:rsidRDefault="00E7710D" w:rsidP="00955175">
      <w:pPr>
        <w:pStyle w:val="Eivli"/>
      </w:pPr>
    </w:p>
    <w:p w14:paraId="2D598B17" w14:textId="77777777" w:rsidR="00955175" w:rsidRDefault="00955175" w:rsidP="00955175">
      <w:pPr>
        <w:pStyle w:val="Eivli"/>
      </w:pPr>
    </w:p>
    <w:p w14:paraId="54C1E6E9" w14:textId="3F0D208A" w:rsidR="00264297" w:rsidRPr="00B45E5D" w:rsidRDefault="00C66DC3" w:rsidP="00367189">
      <w:pPr>
        <w:pStyle w:val="Eivli"/>
        <w:jc w:val="center"/>
      </w:pPr>
      <w:r>
        <w:t xml:space="preserve">32 </w:t>
      </w:r>
      <w:r w:rsidR="00264297" w:rsidRPr="00B45E5D">
        <w:t>§</w:t>
      </w:r>
    </w:p>
    <w:p w14:paraId="04B5B64B" w14:textId="547DBDA5" w:rsidR="00007C04" w:rsidRPr="00B45E5D" w:rsidRDefault="00007C04" w:rsidP="00367189">
      <w:pPr>
        <w:pStyle w:val="Eivli"/>
        <w:jc w:val="center"/>
        <w:rPr>
          <w:i/>
        </w:rPr>
      </w:pPr>
      <w:r w:rsidRPr="00B45E5D">
        <w:rPr>
          <w:i/>
        </w:rPr>
        <w:t>Jätehuollon kans</w:t>
      </w:r>
      <w:r w:rsidR="000512AF" w:rsidRPr="00B45E5D">
        <w:rPr>
          <w:i/>
        </w:rPr>
        <w:t>allinen</w:t>
      </w:r>
      <w:r w:rsidRPr="00B45E5D">
        <w:rPr>
          <w:i/>
        </w:rPr>
        <w:t xml:space="preserve"> ohjelma</w:t>
      </w:r>
    </w:p>
    <w:p w14:paraId="496AB9F0" w14:textId="77777777" w:rsidR="00264297" w:rsidRDefault="00264297" w:rsidP="00264297">
      <w:pPr>
        <w:pStyle w:val="Eivli"/>
      </w:pPr>
    </w:p>
    <w:p w14:paraId="7CE2EF42" w14:textId="1C2A31F5" w:rsidR="00367189" w:rsidRPr="0035606F" w:rsidRDefault="00367189" w:rsidP="00AD022D">
      <w:pPr>
        <w:pStyle w:val="Eivli"/>
      </w:pPr>
      <w:r w:rsidRPr="0035606F">
        <w:t>Säteilylain 83 §:ssä tarkoitetussa ohjelmassa on esitettävä</w:t>
      </w:r>
      <w:r w:rsidR="00BF4ED5" w:rsidRPr="0035606F">
        <w:t xml:space="preserve"> ainakin</w:t>
      </w:r>
      <w:r w:rsidRPr="0035606F">
        <w:t>:</w:t>
      </w:r>
    </w:p>
    <w:p w14:paraId="2901B0BD" w14:textId="0BABCCB0" w:rsidR="00367189" w:rsidRPr="0035606F" w:rsidRDefault="00367189" w:rsidP="00AD022D">
      <w:pPr>
        <w:pStyle w:val="Eivli"/>
      </w:pPr>
      <w:r w:rsidRPr="0035606F">
        <w:t>1) radioaktiivisen jätteen jätehuoltoa koskevan kansallisen toimintapolitiikan yleiset tavoitteet;</w:t>
      </w:r>
    </w:p>
    <w:p w14:paraId="40E5FC94" w14:textId="707A16B2" w:rsidR="00367189" w:rsidRPr="0035606F" w:rsidRDefault="00367189" w:rsidP="00AD022D">
      <w:pPr>
        <w:pStyle w:val="Eivli"/>
      </w:pPr>
      <w:r w:rsidRPr="0035606F">
        <w:t>2) suurimmat välitavoitteet ja aikataulut näiden saavuttamiseksi ottaen huomioon kansallisen ohjelman yleiset tavoitteet;</w:t>
      </w:r>
    </w:p>
    <w:p w14:paraId="5217A344" w14:textId="2A231345" w:rsidR="00367189" w:rsidRPr="0035606F" w:rsidRDefault="00367189" w:rsidP="00AD022D">
      <w:pPr>
        <w:pStyle w:val="Eivli"/>
      </w:pPr>
      <w:r w:rsidRPr="0035606F">
        <w:t>3) inventaario radioaktiivisesta jätteestä sekä arviot tulevista määristä; inventaariossa on jätteen luokituksen mukaisesti ilmoitettava radioaktiivisen jätteen sijaintipaikka sekä määrä;</w:t>
      </w:r>
    </w:p>
    <w:p w14:paraId="1D35474D" w14:textId="77777777" w:rsidR="00376EBF" w:rsidRPr="0035606F" w:rsidRDefault="00367189" w:rsidP="00AD022D">
      <w:pPr>
        <w:pStyle w:val="Eivli"/>
      </w:pPr>
      <w:r w:rsidRPr="0035606F">
        <w:t>4) jätehuollon suunnitelmat ja tekniset ratkaisut jätteen syntymisestä sen loppusijoitukseen tai muulla tavalla vaarattomaksi tekemiseen;</w:t>
      </w:r>
    </w:p>
    <w:p w14:paraId="6FDF37F3" w14:textId="0060169A" w:rsidR="00367189" w:rsidRPr="0035606F" w:rsidRDefault="00367189" w:rsidP="00AD022D">
      <w:pPr>
        <w:pStyle w:val="Eivli"/>
      </w:pPr>
      <w:r w:rsidRPr="0035606F">
        <w:t>5) loppusijoituslaitoksen elin</w:t>
      </w:r>
      <w:r w:rsidR="0035606F" w:rsidRPr="0035606F">
        <w:t>kaaren</w:t>
      </w:r>
      <w:r w:rsidRPr="0035606F">
        <w:t xml:space="preserve"> </w:t>
      </w:r>
      <w:r w:rsidR="0035606F" w:rsidRPr="0035606F">
        <w:t xml:space="preserve">päättymisen </w:t>
      </w:r>
      <w:r w:rsidRPr="0035606F">
        <w:t xml:space="preserve">jälkeen </w:t>
      </w:r>
      <w:r w:rsidR="0035606F" w:rsidRPr="0035606F">
        <w:t xml:space="preserve">tapahtuneen </w:t>
      </w:r>
      <w:r w:rsidRPr="0035606F">
        <w:t>sulkemisen jälkeistä aikaa koskevat suunnitelmat, ajanjakso, jolloin loppusijoituksen valvonta jatkuu sekä keinot, joiden avulla kyseessä olevaa laitosta koskeva tietämys säilytetään pidemmällä aikavälillä;</w:t>
      </w:r>
    </w:p>
    <w:p w14:paraId="617253B8" w14:textId="01F628B0" w:rsidR="00367189" w:rsidRPr="0035606F" w:rsidRDefault="00367189" w:rsidP="00AD022D">
      <w:pPr>
        <w:pStyle w:val="Eivli"/>
      </w:pPr>
      <w:r w:rsidRPr="0035606F">
        <w:t>6) jätehuollon toteuttamiseksi tarvittavat tutkimus-, kehittämis- ja havainnollistamistoimet;</w:t>
      </w:r>
    </w:p>
    <w:p w14:paraId="7A02B001" w14:textId="6F500406" w:rsidR="00367189" w:rsidRPr="0035606F" w:rsidRDefault="00367189" w:rsidP="00AD022D">
      <w:pPr>
        <w:pStyle w:val="Eivli"/>
      </w:pPr>
      <w:r w:rsidRPr="0035606F">
        <w:t>7) vastuu kansallisen ohjelman toteuttamisesta sekä toteuttamisvastuun seurantaa koskevat mittarit, joilla voidaan seurata tavoitteiden ja toteuttamisen edistymistä;</w:t>
      </w:r>
    </w:p>
    <w:p w14:paraId="5427015C" w14:textId="581513AC" w:rsidR="00367189" w:rsidRPr="0035606F" w:rsidRDefault="00367189" w:rsidP="00AD022D">
      <w:pPr>
        <w:pStyle w:val="Eivli"/>
      </w:pPr>
      <w:r w:rsidRPr="0035606F">
        <w:t>8) perusteltu arvio kansalliseen ohjelmaan sisältyvien menettelyjen kustannuksista;</w:t>
      </w:r>
    </w:p>
    <w:p w14:paraId="776C0EF2" w14:textId="3C43C607" w:rsidR="00367189" w:rsidRPr="0035606F" w:rsidRDefault="00367189" w:rsidP="00AD022D">
      <w:pPr>
        <w:pStyle w:val="Eivli"/>
      </w:pPr>
      <w:r w:rsidRPr="0035606F">
        <w:t>9) kuvaus sovellettavasta rahoitusjärjestelystä radioaktiivisen jätteen jätehuollon toteuttamiseksi;</w:t>
      </w:r>
    </w:p>
    <w:p w14:paraId="078642AB" w14:textId="77777777" w:rsidR="00367189" w:rsidRPr="0035606F" w:rsidRDefault="00367189" w:rsidP="00AD022D">
      <w:pPr>
        <w:pStyle w:val="Eivli"/>
      </w:pPr>
      <w:r w:rsidRPr="0035606F">
        <w:t>10) tiedot ohjelman julkisuudesta sekä avoimuuden varmistamisesta;</w:t>
      </w:r>
    </w:p>
    <w:p w14:paraId="44B84B0D" w14:textId="77777777" w:rsidR="00367189" w:rsidRPr="0035606F" w:rsidRDefault="00367189" w:rsidP="00AD022D">
      <w:pPr>
        <w:pStyle w:val="Eivli"/>
        <w:rPr>
          <w:rFonts w:ascii="Times New Roman" w:hAnsi="Times New Roman"/>
        </w:rPr>
      </w:pPr>
      <w:r w:rsidRPr="0035606F">
        <w:t>11) Suomen muiden valtioiden kanssa tekemät radioaktiivisia jätteitä koskevat sopimukset.</w:t>
      </w:r>
    </w:p>
    <w:p w14:paraId="24F1DBF7" w14:textId="77777777" w:rsidR="00007C04" w:rsidRDefault="00007C04" w:rsidP="00955175">
      <w:pPr>
        <w:pStyle w:val="Eivli"/>
      </w:pPr>
    </w:p>
    <w:p w14:paraId="059CF7B6" w14:textId="21612B33" w:rsidR="007B0984" w:rsidRDefault="007B0984" w:rsidP="00B45E5D">
      <w:pPr>
        <w:pStyle w:val="Eivli"/>
      </w:pPr>
    </w:p>
    <w:p w14:paraId="3C97BB8F" w14:textId="04B5D044" w:rsidR="00123550" w:rsidRDefault="00584C60" w:rsidP="0035606F">
      <w:pPr>
        <w:pStyle w:val="Eivli"/>
        <w:jc w:val="center"/>
      </w:pPr>
      <w:r>
        <w:t>7</w:t>
      </w:r>
      <w:r w:rsidR="00123550">
        <w:t xml:space="preserve"> luku</w:t>
      </w:r>
    </w:p>
    <w:p w14:paraId="24033A03" w14:textId="77777777" w:rsidR="00123550" w:rsidRPr="0035606F" w:rsidRDefault="00123550" w:rsidP="0035606F">
      <w:pPr>
        <w:pStyle w:val="Eivli"/>
        <w:jc w:val="center"/>
        <w:rPr>
          <w:b/>
        </w:rPr>
      </w:pPr>
      <w:r w:rsidRPr="0035606F">
        <w:rPr>
          <w:b/>
        </w:rPr>
        <w:t>Työperäinen altistus</w:t>
      </w:r>
    </w:p>
    <w:p w14:paraId="2AD54F7F" w14:textId="77777777" w:rsidR="00123550" w:rsidRDefault="00123550" w:rsidP="00123550">
      <w:pPr>
        <w:pStyle w:val="Eivli"/>
      </w:pPr>
    </w:p>
    <w:p w14:paraId="54577CC6" w14:textId="75A62CD7" w:rsidR="00123550" w:rsidRDefault="00C66DC3" w:rsidP="0035606F">
      <w:pPr>
        <w:pStyle w:val="Eivli"/>
        <w:jc w:val="center"/>
      </w:pPr>
      <w:r>
        <w:t xml:space="preserve">33 </w:t>
      </w:r>
      <w:r w:rsidR="00123550">
        <w:t>§</w:t>
      </w:r>
    </w:p>
    <w:p w14:paraId="3B5A9644" w14:textId="77777777" w:rsidR="00123550" w:rsidRPr="0035606F" w:rsidRDefault="00123550" w:rsidP="0035606F">
      <w:pPr>
        <w:pStyle w:val="Eivli"/>
        <w:jc w:val="center"/>
        <w:rPr>
          <w:i/>
        </w:rPr>
      </w:pPr>
      <w:r w:rsidRPr="0035606F">
        <w:rPr>
          <w:i/>
        </w:rPr>
        <w:t>Säteilytyöntekijöiden luokittelu</w:t>
      </w:r>
    </w:p>
    <w:p w14:paraId="1D437C7B" w14:textId="77777777" w:rsidR="00123550" w:rsidRDefault="00123550" w:rsidP="00123550">
      <w:pPr>
        <w:pStyle w:val="Eivli"/>
      </w:pPr>
    </w:p>
    <w:p w14:paraId="410B42FD" w14:textId="2C9925FB" w:rsidR="00123550" w:rsidRDefault="005F7CE0" w:rsidP="00123550">
      <w:pPr>
        <w:pStyle w:val="Eivli"/>
      </w:pPr>
      <w:r>
        <w:t>Säteilytyöntekijä kuuluu luokkaan A, jos</w:t>
      </w:r>
      <w:r w:rsidR="00123550" w:rsidRPr="00EF5BD7">
        <w:t xml:space="preserve"> säteilytyöstä aiheutuva efektiivinen annos voi olla suurempi kuin </w:t>
      </w:r>
      <w:r>
        <w:t>kuusi millisievertiä</w:t>
      </w:r>
      <w:r w:rsidR="00123550" w:rsidRPr="00EF5BD7">
        <w:t xml:space="preserve"> vuodessa tai silmän mykiön ekvivalenttiannos suurempi kuin 15 </w:t>
      </w:r>
      <w:r>
        <w:t>millisievertiä</w:t>
      </w:r>
      <w:r w:rsidRPr="00EF5BD7">
        <w:t xml:space="preserve"> </w:t>
      </w:r>
      <w:r w:rsidR="00123550" w:rsidRPr="00EF5BD7">
        <w:t xml:space="preserve">vuodessa taikka ihon, käsien, käsivarsien, jalkaterien tai nilkkojen ekvivalenttiannos suurempi kuin 150 </w:t>
      </w:r>
      <w:r>
        <w:t>millisievertiä</w:t>
      </w:r>
      <w:r w:rsidRPr="00EF5BD7">
        <w:t xml:space="preserve"> </w:t>
      </w:r>
      <w:r w:rsidR="00123550" w:rsidRPr="00EF5BD7">
        <w:t>vuodessa</w:t>
      </w:r>
      <w:r w:rsidR="00123550">
        <w:t>.</w:t>
      </w:r>
    </w:p>
    <w:p w14:paraId="6815C89D" w14:textId="77777777" w:rsidR="00123550" w:rsidRDefault="00123550" w:rsidP="00123550">
      <w:pPr>
        <w:pStyle w:val="Eivli"/>
      </w:pPr>
    </w:p>
    <w:p w14:paraId="26BE0DAC" w14:textId="1E0099FA" w:rsidR="00123550" w:rsidRDefault="00123550" w:rsidP="00123550">
      <w:pPr>
        <w:pStyle w:val="Eivli"/>
      </w:pPr>
      <w:r w:rsidRPr="00EF5BD7">
        <w:t>Muu säteilytyöntekijä kuulu</w:t>
      </w:r>
      <w:r w:rsidR="00BF4ED5">
        <w:t>u</w:t>
      </w:r>
      <w:r w:rsidRPr="00EF5BD7">
        <w:t xml:space="preserve"> luokkaan B</w:t>
      </w:r>
      <w:r>
        <w:t>.</w:t>
      </w:r>
    </w:p>
    <w:p w14:paraId="641F42C5" w14:textId="77777777" w:rsidR="00123550" w:rsidRDefault="00123550" w:rsidP="00123550">
      <w:pPr>
        <w:pStyle w:val="Eivli"/>
      </w:pPr>
    </w:p>
    <w:p w14:paraId="1E515DC1" w14:textId="77777777" w:rsidR="00123550" w:rsidRDefault="00123550" w:rsidP="00123550">
      <w:pPr>
        <w:pStyle w:val="Eivli"/>
      </w:pPr>
    </w:p>
    <w:p w14:paraId="328674F4" w14:textId="031324BA" w:rsidR="00123550" w:rsidRDefault="00C66DC3" w:rsidP="00123550">
      <w:pPr>
        <w:pStyle w:val="Eivli"/>
        <w:jc w:val="center"/>
      </w:pPr>
      <w:r>
        <w:t xml:space="preserve">34 </w:t>
      </w:r>
      <w:r w:rsidR="00123550">
        <w:t>§</w:t>
      </w:r>
    </w:p>
    <w:p w14:paraId="6B418530" w14:textId="77777777" w:rsidR="00123550" w:rsidRDefault="00123550" w:rsidP="00123550">
      <w:pPr>
        <w:pStyle w:val="Eivli"/>
        <w:jc w:val="center"/>
        <w:rPr>
          <w:i/>
        </w:rPr>
      </w:pPr>
      <w:r>
        <w:rPr>
          <w:i/>
        </w:rPr>
        <w:t>Työskentelyalueiden luokittelu</w:t>
      </w:r>
    </w:p>
    <w:p w14:paraId="4B9F6664" w14:textId="77777777" w:rsidR="00123550" w:rsidRDefault="00123550" w:rsidP="00123550">
      <w:pPr>
        <w:pStyle w:val="Eivli"/>
      </w:pPr>
    </w:p>
    <w:p w14:paraId="3D27F002" w14:textId="77777777" w:rsidR="00123550" w:rsidRDefault="00123550" w:rsidP="00123550">
      <w:pPr>
        <w:pStyle w:val="Eivli"/>
      </w:pPr>
      <w:r>
        <w:t xml:space="preserve">Valvonta- ja tarkkailualueiden tunnistamisessa ja jaottelussa on otettava huomioon </w:t>
      </w:r>
      <w:r w:rsidRPr="00EF5BD7">
        <w:t>toimin</w:t>
      </w:r>
      <w:r>
        <w:t xml:space="preserve">nan luonne </w:t>
      </w:r>
      <w:r w:rsidRPr="00EF5BD7">
        <w:t xml:space="preserve">sekä </w:t>
      </w:r>
      <w:r>
        <w:t>toiminnasta</w:t>
      </w:r>
      <w:r w:rsidRPr="00EF5BD7">
        <w:t xml:space="preserve"> aiheutuvan säteilyriskin suuruus</w:t>
      </w:r>
      <w:r>
        <w:t>.</w:t>
      </w:r>
    </w:p>
    <w:p w14:paraId="402F42DC" w14:textId="77777777" w:rsidR="00123550" w:rsidRDefault="00123550" w:rsidP="00123550">
      <w:pPr>
        <w:pStyle w:val="Eivli"/>
      </w:pPr>
    </w:p>
    <w:p w14:paraId="7024CC5C" w14:textId="1F32F1C3" w:rsidR="00123550" w:rsidRDefault="00123550" w:rsidP="00123550">
      <w:pPr>
        <w:pStyle w:val="Eivli"/>
      </w:pPr>
      <w:r>
        <w:t xml:space="preserve">Tarkkailualueeksi on jaoteltava alue, jossa työskenneltäessä </w:t>
      </w:r>
      <w:r w:rsidRPr="00EF5BD7">
        <w:t xml:space="preserve">työntekijälle aiheutuva efektiivinen annos voi olla suurempi kuin </w:t>
      </w:r>
      <w:r w:rsidR="005F7CE0">
        <w:t>yksi millisievertiä</w:t>
      </w:r>
      <w:r w:rsidRPr="00EF5BD7">
        <w:t xml:space="preserve"> vuodessa tai silmän mykiön ekvivalenttiannos 15 </w:t>
      </w:r>
      <w:r w:rsidR="005F7CE0">
        <w:t>millisievertiä</w:t>
      </w:r>
      <w:r w:rsidR="005F7CE0" w:rsidRPr="00EF5BD7">
        <w:t xml:space="preserve"> </w:t>
      </w:r>
      <w:r w:rsidRPr="00EF5BD7">
        <w:t xml:space="preserve">vuodessa taikka ihon, käsien, käsivarsien, jalkaterien tai nilkkojen ekvivalenttiannos suurempi kuin 50 </w:t>
      </w:r>
      <w:r w:rsidR="005F7CE0">
        <w:t>millisievertiä</w:t>
      </w:r>
      <w:r w:rsidR="005F7CE0" w:rsidRPr="00EF5BD7">
        <w:t xml:space="preserve"> </w:t>
      </w:r>
      <w:r w:rsidRPr="00EF5BD7">
        <w:t>vuodessa</w:t>
      </w:r>
      <w:r>
        <w:t>.</w:t>
      </w:r>
    </w:p>
    <w:p w14:paraId="4EC0C87A" w14:textId="77777777" w:rsidR="00123550" w:rsidRDefault="00123550" w:rsidP="00123550">
      <w:pPr>
        <w:pStyle w:val="Eivli"/>
      </w:pPr>
    </w:p>
    <w:p w14:paraId="54D7CF1B" w14:textId="77777777" w:rsidR="00123550" w:rsidRDefault="00123550" w:rsidP="00123550">
      <w:pPr>
        <w:pStyle w:val="Eivli"/>
      </w:pPr>
      <w:r w:rsidRPr="00EF5BD7">
        <w:t xml:space="preserve">Valvonta-alueeksi on </w:t>
      </w:r>
      <w:r>
        <w:t>jaoteltava alue</w:t>
      </w:r>
      <w:r w:rsidRPr="00EF5BD7">
        <w:t>, jo</w:t>
      </w:r>
      <w:r>
        <w:t>ss</w:t>
      </w:r>
      <w:r w:rsidRPr="00EF5BD7">
        <w:t>a työskentely edellyttää säteily- tai kontaminaatioriskin vuoksi erityisiä toimia ionisoival</w:t>
      </w:r>
      <w:r>
        <w:t>ta säteilyltä suojautumiseksi.</w:t>
      </w:r>
    </w:p>
    <w:p w14:paraId="76311007" w14:textId="77777777" w:rsidR="00123550" w:rsidRPr="00EF5BD7" w:rsidRDefault="00123550" w:rsidP="00123550">
      <w:pPr>
        <w:pStyle w:val="Eivli"/>
      </w:pPr>
    </w:p>
    <w:p w14:paraId="79CBE3DB" w14:textId="77777777" w:rsidR="00123550" w:rsidRDefault="00123550" w:rsidP="00123550">
      <w:pPr>
        <w:pStyle w:val="Eivli"/>
      </w:pPr>
    </w:p>
    <w:p w14:paraId="1DF13F66" w14:textId="1074A759" w:rsidR="00123550" w:rsidRDefault="00C66DC3" w:rsidP="00123550">
      <w:pPr>
        <w:pStyle w:val="Eivli"/>
        <w:jc w:val="center"/>
      </w:pPr>
      <w:r>
        <w:t xml:space="preserve">35 </w:t>
      </w:r>
      <w:r w:rsidR="00123550">
        <w:t>§</w:t>
      </w:r>
    </w:p>
    <w:p w14:paraId="4B19E2AD" w14:textId="77777777" w:rsidR="00123550" w:rsidRDefault="00123550" w:rsidP="00123550">
      <w:pPr>
        <w:pStyle w:val="Eivli"/>
        <w:jc w:val="center"/>
      </w:pPr>
      <w:r>
        <w:rPr>
          <w:i/>
        </w:rPr>
        <w:t>Valvonta-alueen vaatimukset</w:t>
      </w:r>
    </w:p>
    <w:p w14:paraId="3B19F0A6" w14:textId="77777777" w:rsidR="00123550" w:rsidRDefault="00123550" w:rsidP="00123550">
      <w:pPr>
        <w:pStyle w:val="Eivli"/>
      </w:pPr>
    </w:p>
    <w:p w14:paraId="6D31D60F" w14:textId="77777777" w:rsidR="00123550" w:rsidRDefault="00123550" w:rsidP="00123550">
      <w:pPr>
        <w:pStyle w:val="Eivli"/>
      </w:pPr>
      <w:r w:rsidRPr="00EF5BD7">
        <w:t>Valvonta-alue on rajattava ja sinne pääsyä on valvottava toiminnanharjoittajan kirjallist</w:t>
      </w:r>
      <w:r>
        <w:t>en ohjeiden mukaisesti.</w:t>
      </w:r>
    </w:p>
    <w:p w14:paraId="2BEE01C6" w14:textId="77777777" w:rsidR="00123550" w:rsidRDefault="00123550" w:rsidP="00123550">
      <w:pPr>
        <w:pStyle w:val="Eivli"/>
      </w:pPr>
    </w:p>
    <w:p w14:paraId="64C6DA3A" w14:textId="77777777" w:rsidR="00123550" w:rsidRDefault="00123550" w:rsidP="00123550">
      <w:pPr>
        <w:pStyle w:val="Eivli"/>
      </w:pPr>
      <w:r w:rsidRPr="00EF5BD7">
        <w:t>Jos alueella on radioaktiivisen kontaminaation leviäminen vaara, on tehtävä tarvittavat järjestelyt henkilöiden alueelle saapumista ja sieltä poistumista, tavaroiden alueelle tuomista tai sieltä poisviemistä sekä kontaminaation seuraamista ja sen leviämisen estämistä varten</w:t>
      </w:r>
      <w:r>
        <w:t>.</w:t>
      </w:r>
    </w:p>
    <w:p w14:paraId="3BAEBFFB" w14:textId="77777777" w:rsidR="00123550" w:rsidRDefault="00123550" w:rsidP="00123550">
      <w:pPr>
        <w:pStyle w:val="Eivli"/>
      </w:pPr>
    </w:p>
    <w:p w14:paraId="3A07E304" w14:textId="77777777" w:rsidR="00123550" w:rsidRDefault="00123550" w:rsidP="00123550">
      <w:pPr>
        <w:pStyle w:val="Eivli"/>
      </w:pPr>
      <w:r w:rsidRPr="00EF5BD7">
        <w:t xml:space="preserve">Valvonta-alueella on oltava merkinnät, joista käy ilmi alueen luokitus ja </w:t>
      </w:r>
      <w:r>
        <w:t>altistuksen</w:t>
      </w:r>
      <w:r w:rsidRPr="00EF5BD7">
        <w:t xml:space="preserve"> luonne </w:t>
      </w:r>
      <w:r>
        <w:t>ja siihen liittyvät</w:t>
      </w:r>
      <w:r w:rsidRPr="00EF5BD7">
        <w:t xml:space="preserve"> vaarat</w:t>
      </w:r>
      <w:r>
        <w:t>.</w:t>
      </w:r>
    </w:p>
    <w:p w14:paraId="5B9CDA55" w14:textId="77777777" w:rsidR="00123550" w:rsidRDefault="00123550" w:rsidP="00123550">
      <w:pPr>
        <w:pStyle w:val="Eivli"/>
      </w:pPr>
    </w:p>
    <w:p w14:paraId="00C09156" w14:textId="2352CCB5" w:rsidR="00123550" w:rsidRDefault="00123550" w:rsidP="00123550">
      <w:pPr>
        <w:pStyle w:val="Eivli"/>
      </w:pPr>
      <w:r w:rsidRPr="00EF5BD7">
        <w:t>Toiminnanharjoittajan on järjestettävä valvonta-alueella työskentelev</w:t>
      </w:r>
      <w:r>
        <w:t>ä</w:t>
      </w:r>
      <w:r w:rsidRPr="00EF5BD7">
        <w:t>lle työntekij</w:t>
      </w:r>
      <w:r>
        <w:t>ä</w:t>
      </w:r>
      <w:r w:rsidRPr="00EF5BD7">
        <w:t xml:space="preserve">lle työpaikan ja työtehtävien erityispiirteitä koskevaa koulutusta ja annettava </w:t>
      </w:r>
      <w:r>
        <w:t>työntekijälle</w:t>
      </w:r>
      <w:r w:rsidRPr="00EF5BD7">
        <w:t xml:space="preserve"> </w:t>
      </w:r>
      <w:r>
        <w:t>säteilysuojelun kannalta tarpeelliset henkilönsuojaimet.</w:t>
      </w:r>
    </w:p>
    <w:p w14:paraId="7694455D" w14:textId="77777777" w:rsidR="00123550" w:rsidRDefault="00123550" w:rsidP="00123550">
      <w:pPr>
        <w:pStyle w:val="Eivli"/>
      </w:pPr>
    </w:p>
    <w:p w14:paraId="01DC6A5A" w14:textId="77777777" w:rsidR="001D57E2" w:rsidRDefault="001D57E2" w:rsidP="00123550">
      <w:pPr>
        <w:pStyle w:val="Eivli"/>
      </w:pPr>
    </w:p>
    <w:p w14:paraId="3135F8AC" w14:textId="6644C884" w:rsidR="00123550" w:rsidRDefault="00C66DC3" w:rsidP="00123550">
      <w:pPr>
        <w:pStyle w:val="Eivli"/>
        <w:jc w:val="center"/>
      </w:pPr>
      <w:r>
        <w:t xml:space="preserve">36 </w:t>
      </w:r>
      <w:r w:rsidR="00123550">
        <w:t>§</w:t>
      </w:r>
    </w:p>
    <w:p w14:paraId="7E91B579" w14:textId="77777777" w:rsidR="00123550" w:rsidRDefault="00123550" w:rsidP="00123550">
      <w:pPr>
        <w:pStyle w:val="Eivli"/>
        <w:jc w:val="center"/>
        <w:rPr>
          <w:i/>
        </w:rPr>
      </w:pPr>
      <w:r>
        <w:rPr>
          <w:i/>
        </w:rPr>
        <w:t>Tarkkailualueen vaatimukset</w:t>
      </w:r>
    </w:p>
    <w:p w14:paraId="36EBDEBD" w14:textId="77777777" w:rsidR="00123550" w:rsidRDefault="00123550" w:rsidP="00123550">
      <w:pPr>
        <w:pStyle w:val="Eivli"/>
      </w:pPr>
    </w:p>
    <w:p w14:paraId="11CCD533" w14:textId="014FB145" w:rsidR="00123550" w:rsidRDefault="00123550" w:rsidP="00123550">
      <w:pPr>
        <w:pStyle w:val="Eivli"/>
      </w:pPr>
      <w:r w:rsidRPr="00C92FA7">
        <w:t xml:space="preserve">Tarkkailu-alueella on oltava merkinnät, joista käy ilmi alueen luokitus ja </w:t>
      </w:r>
      <w:r>
        <w:t>altistuksen</w:t>
      </w:r>
      <w:r w:rsidRPr="00C92FA7">
        <w:t xml:space="preserve"> luonne </w:t>
      </w:r>
      <w:r>
        <w:t xml:space="preserve">ja siihen liittyvät vaarat, jos se on vaaran huomioon ottamisen vuoksi tarpeen. </w:t>
      </w:r>
      <w:r w:rsidR="006C7A03">
        <w:t>T</w:t>
      </w:r>
      <w:r>
        <w:t>arkkailualueelle on vahvistettava erityiset säännöt, jos se on vaaran huomioon ottamisen vuoksi tarpeen.</w:t>
      </w:r>
    </w:p>
    <w:p w14:paraId="7A1BC583" w14:textId="77777777" w:rsidR="00123550" w:rsidRDefault="00123550" w:rsidP="00123550">
      <w:pPr>
        <w:pStyle w:val="Eivli"/>
      </w:pPr>
    </w:p>
    <w:p w14:paraId="16753771" w14:textId="77777777" w:rsidR="00123550" w:rsidRPr="00C92FA7" w:rsidRDefault="00123550" w:rsidP="00123550">
      <w:pPr>
        <w:pStyle w:val="Eivli"/>
      </w:pPr>
      <w:r w:rsidRPr="00EF5BD7">
        <w:t>Tarkkailualuee</w:t>
      </w:r>
      <w:r>
        <w:t>lla on järjestettävä</w:t>
      </w:r>
      <w:r w:rsidRPr="00EF5BD7">
        <w:t xml:space="preserve"> </w:t>
      </w:r>
      <w:r>
        <w:t>altistusolosuhteiden tarkkailu</w:t>
      </w:r>
      <w:r w:rsidRPr="00EF5BD7">
        <w:t xml:space="preserve"> sen varmistamiseksi, että säteilysuojelujärjestelyt ovat riittävät</w:t>
      </w:r>
      <w:r>
        <w:t>.</w:t>
      </w:r>
    </w:p>
    <w:p w14:paraId="29DC9F7A" w14:textId="77777777" w:rsidR="00123550" w:rsidRDefault="00123550" w:rsidP="00123550">
      <w:pPr>
        <w:pStyle w:val="Eivli"/>
      </w:pPr>
    </w:p>
    <w:p w14:paraId="0FDED25B" w14:textId="77777777" w:rsidR="00123550" w:rsidRPr="00C92FA7" w:rsidRDefault="00123550" w:rsidP="00123550">
      <w:pPr>
        <w:pStyle w:val="Eivli"/>
      </w:pPr>
    </w:p>
    <w:p w14:paraId="7238A806" w14:textId="77CD4FDC" w:rsidR="00123550" w:rsidRDefault="00C66DC3" w:rsidP="00123550">
      <w:pPr>
        <w:pStyle w:val="Eivli"/>
        <w:jc w:val="center"/>
      </w:pPr>
      <w:r>
        <w:t xml:space="preserve">37 </w:t>
      </w:r>
      <w:r w:rsidR="00123550">
        <w:t>§</w:t>
      </w:r>
    </w:p>
    <w:p w14:paraId="0292EC83" w14:textId="77777777" w:rsidR="00123550" w:rsidRPr="00C92FA7" w:rsidRDefault="00123550" w:rsidP="00123550">
      <w:pPr>
        <w:pStyle w:val="Eivli"/>
        <w:jc w:val="center"/>
        <w:rPr>
          <w:i/>
        </w:rPr>
      </w:pPr>
      <w:r w:rsidRPr="00C92FA7">
        <w:rPr>
          <w:i/>
        </w:rPr>
        <w:t>Altistusolosuhteiden tarkkailun ja henkilökohtaisen annostarkkailun tulosten kirjaaminen</w:t>
      </w:r>
    </w:p>
    <w:p w14:paraId="59881A81" w14:textId="77777777" w:rsidR="00123550" w:rsidRDefault="00123550" w:rsidP="00123550">
      <w:pPr>
        <w:pStyle w:val="Eivli"/>
      </w:pPr>
    </w:p>
    <w:p w14:paraId="556DBA8E" w14:textId="77777777" w:rsidR="00123550" w:rsidRDefault="00123550" w:rsidP="00123550">
      <w:pPr>
        <w:pStyle w:val="Eivli"/>
      </w:pPr>
      <w:r w:rsidRPr="00C92FA7">
        <w:t>Toiminnanharjoittajan on kirjattava altistusolosuhteiden tarkkailun tuloksista</w:t>
      </w:r>
      <w:r>
        <w:t>:</w:t>
      </w:r>
    </w:p>
    <w:p w14:paraId="6D9AB572" w14:textId="785ED1B3" w:rsidR="00123550" w:rsidRDefault="00123550" w:rsidP="00624C57">
      <w:pPr>
        <w:pStyle w:val="Eivli"/>
        <w:numPr>
          <w:ilvl w:val="0"/>
          <w:numId w:val="9"/>
        </w:numPr>
      </w:pPr>
      <w:r w:rsidRPr="00C92FA7">
        <w:t>tarkkailun tai mittausten ajankohta;</w:t>
      </w:r>
    </w:p>
    <w:p w14:paraId="632FCAC7" w14:textId="77777777" w:rsidR="00123550" w:rsidRDefault="00123550" w:rsidP="00624C57">
      <w:pPr>
        <w:pStyle w:val="Eivli"/>
        <w:numPr>
          <w:ilvl w:val="0"/>
          <w:numId w:val="9"/>
        </w:numPr>
      </w:pPr>
      <w:r w:rsidRPr="00C92FA7">
        <w:lastRenderedPageBreak/>
        <w:t>määritetty annos tai ulkoisen säteilyn annosnopeudet, jolloin on kirjattava myös säteilylaji ja -energia tai käytettävä radionuklidi;</w:t>
      </w:r>
    </w:p>
    <w:p w14:paraId="3B831194" w14:textId="77777777" w:rsidR="00123550" w:rsidRDefault="00123550" w:rsidP="00624C57">
      <w:pPr>
        <w:pStyle w:val="Eivli"/>
        <w:numPr>
          <w:ilvl w:val="0"/>
          <w:numId w:val="9"/>
        </w:numPr>
      </w:pPr>
      <w:r>
        <w:t>kontaminaatiota aiheuttanut</w:t>
      </w:r>
      <w:r w:rsidRPr="00C92FA7">
        <w:t xml:space="preserve"> radioaktiivinen aine, sen aktiivisuus ilmassa ja pinnoilla sekä fysikaalinen ja kemiallinen olomuoto;</w:t>
      </w:r>
    </w:p>
    <w:p w14:paraId="2E463A13" w14:textId="77777777" w:rsidR="00123550" w:rsidRDefault="00123550" w:rsidP="00624C57">
      <w:pPr>
        <w:pStyle w:val="Eivli"/>
        <w:numPr>
          <w:ilvl w:val="0"/>
          <w:numId w:val="9"/>
        </w:numPr>
      </w:pPr>
      <w:r w:rsidRPr="00C92FA7">
        <w:t>työntekijöiden altistuksen kesto, jos se on tarpeen annosten laskemista varten;</w:t>
      </w:r>
    </w:p>
    <w:p w14:paraId="572EC68A" w14:textId="2AA07F9F" w:rsidR="00123550" w:rsidRDefault="00123550" w:rsidP="00624C57">
      <w:pPr>
        <w:pStyle w:val="Eivli"/>
        <w:numPr>
          <w:ilvl w:val="0"/>
          <w:numId w:val="9"/>
        </w:numPr>
      </w:pPr>
      <w:r w:rsidRPr="00C92FA7">
        <w:t>maini</w:t>
      </w:r>
      <w:r>
        <w:t>n</w:t>
      </w:r>
      <w:r w:rsidRPr="00C92FA7">
        <w:t xml:space="preserve">ta, jos ulkoista säteilyä tai kontaminaatiota ei </w:t>
      </w:r>
      <w:r w:rsidR="00F45121">
        <w:t xml:space="preserve">ole </w:t>
      </w:r>
      <w:r w:rsidRPr="00C92FA7">
        <w:t>todettu;</w:t>
      </w:r>
    </w:p>
    <w:p w14:paraId="38837B98" w14:textId="77777777" w:rsidR="00123550" w:rsidRDefault="00123550" w:rsidP="00624C57">
      <w:pPr>
        <w:pStyle w:val="Eivli"/>
        <w:numPr>
          <w:ilvl w:val="0"/>
          <w:numId w:val="9"/>
        </w:numPr>
      </w:pPr>
      <w:r>
        <w:t xml:space="preserve">usean henkilön yhteisesti käyttämän </w:t>
      </w:r>
      <w:r w:rsidRPr="00C92FA7">
        <w:t>annosmittarin käytöstä kirjanpito, josta voidaan arvioida työntekijöiden säteilyaltistus ja tehdä päätelmiä henkilökohtaisen annostarkkailun tarpeesta</w:t>
      </w:r>
      <w:r>
        <w:t>.</w:t>
      </w:r>
    </w:p>
    <w:p w14:paraId="2729396E" w14:textId="77777777" w:rsidR="00123550" w:rsidRDefault="00123550" w:rsidP="00123550">
      <w:pPr>
        <w:pStyle w:val="Eivli"/>
      </w:pPr>
    </w:p>
    <w:p w14:paraId="15332445" w14:textId="77777777" w:rsidR="006F20F2" w:rsidRDefault="006F20F2" w:rsidP="00123550">
      <w:pPr>
        <w:pStyle w:val="Eivli"/>
      </w:pPr>
    </w:p>
    <w:p w14:paraId="7B9B3812" w14:textId="7D776C8A" w:rsidR="00CB1AE1" w:rsidRDefault="00CB1AE1" w:rsidP="00CB1AE1">
      <w:pPr>
        <w:pStyle w:val="Eivli"/>
        <w:jc w:val="center"/>
      </w:pPr>
      <w:r>
        <w:t>38 §</w:t>
      </w:r>
    </w:p>
    <w:p w14:paraId="0CC30726" w14:textId="5828D300" w:rsidR="00CB1AE1" w:rsidRPr="00C92FA7" w:rsidRDefault="00FF77C7" w:rsidP="00CB1AE1">
      <w:pPr>
        <w:pStyle w:val="Eivli"/>
        <w:jc w:val="center"/>
        <w:rPr>
          <w:i/>
        </w:rPr>
      </w:pPr>
      <w:r>
        <w:rPr>
          <w:i/>
        </w:rPr>
        <w:t>Valvonta-alueella työskentelevä u</w:t>
      </w:r>
      <w:r w:rsidR="00CB1AE1">
        <w:rPr>
          <w:i/>
        </w:rPr>
        <w:t>lkopuolinen työntekijä</w:t>
      </w:r>
    </w:p>
    <w:p w14:paraId="5C25F766" w14:textId="7F73447B" w:rsidR="00CB1AE1" w:rsidRDefault="00CB1AE1" w:rsidP="00123550">
      <w:pPr>
        <w:pStyle w:val="Eivli"/>
      </w:pPr>
    </w:p>
    <w:p w14:paraId="25BCF6AA" w14:textId="31338749" w:rsidR="00CB1AE1" w:rsidRPr="00EF5BD7" w:rsidRDefault="00CB1AE1" w:rsidP="00CB1AE1">
      <w:pPr>
        <w:pStyle w:val="Eivli"/>
      </w:pPr>
      <w:r w:rsidRPr="00EF5BD7">
        <w:t xml:space="preserve">Toiminnanharjoittajan on tehtävä tarvittavat toimenpiteet, jotta valvonta-alueella työskentelevän luokkaan A kuuluvan ulkopuolisen työntekijän henkilökohtainen annos voidaan määrittää jokaisen työskentelyjakson jälkeen </w:t>
      </w:r>
      <w:r w:rsidRPr="00290D92">
        <w:t>2 momentissa</w:t>
      </w:r>
      <w:r w:rsidRPr="00EF5BD7">
        <w:t xml:space="preserve"> tarkoitettua annoskirjausta varten. Jos työskentelyjaksolla mitattua annosta ei ole mahdollista saada henkilökohtaisesta annosmittarista heti työskentelyjakson jälkeen, on kyseinen annos määritettävä </w:t>
      </w:r>
      <w:r>
        <w:t>altistusolosuhteiden tarkkailun</w:t>
      </w:r>
      <w:r w:rsidRPr="00EF5BD7">
        <w:t xml:space="preserve"> avulla</w:t>
      </w:r>
      <w:r>
        <w:t>. Jos työskentelyjaksolla aiheutuva annos voi olla enintään kuusi millisievertiä, työntekijän annosta ei tarvitse erikseen määrittää lyhyemmältä jaksolta kuin annostarkkailujaksolta.</w:t>
      </w:r>
    </w:p>
    <w:p w14:paraId="27D708A4" w14:textId="77777777" w:rsidR="00CB1AE1" w:rsidRDefault="00CB1AE1" w:rsidP="00123550">
      <w:pPr>
        <w:pStyle w:val="Eivli"/>
      </w:pPr>
    </w:p>
    <w:p w14:paraId="738D082D" w14:textId="77777777" w:rsidR="00123550" w:rsidRDefault="00123550" w:rsidP="00123550">
      <w:pPr>
        <w:pStyle w:val="Eivli"/>
      </w:pPr>
      <w:r w:rsidRPr="00C92FA7">
        <w:t>Valvonta-alueella työskentelevän ulkopuolisen työntekijän henkilökohtaisen annostarkkailun tuloksista on toiminnanharjoittajan kirjattava jokaisen työskentelyjakson jälkeen:</w:t>
      </w:r>
    </w:p>
    <w:p w14:paraId="047F90AD" w14:textId="77777777" w:rsidR="00123550" w:rsidRDefault="00123550" w:rsidP="00624C57">
      <w:pPr>
        <w:pStyle w:val="Eivli"/>
        <w:numPr>
          <w:ilvl w:val="0"/>
          <w:numId w:val="10"/>
        </w:numPr>
      </w:pPr>
      <w:r>
        <w:t>työskentelyn ajanjakso;</w:t>
      </w:r>
    </w:p>
    <w:p w14:paraId="2CDDE6BC" w14:textId="77777777" w:rsidR="00123550" w:rsidRDefault="00123550" w:rsidP="00624C57">
      <w:pPr>
        <w:pStyle w:val="Eivli"/>
        <w:numPr>
          <w:ilvl w:val="0"/>
          <w:numId w:val="10"/>
        </w:numPr>
      </w:pPr>
      <w:r w:rsidRPr="00D722EC">
        <w:t>arvio aiheutuneesta efektiivisestä annoksesta työskentelyjaksolla</w:t>
      </w:r>
      <w:r>
        <w:t>;</w:t>
      </w:r>
    </w:p>
    <w:p w14:paraId="57E98260" w14:textId="77777777" w:rsidR="00123550" w:rsidRDefault="00123550" w:rsidP="00624C57">
      <w:pPr>
        <w:pStyle w:val="Eivli"/>
        <w:numPr>
          <w:ilvl w:val="0"/>
          <w:numId w:val="10"/>
        </w:numPr>
      </w:pPr>
      <w:r w:rsidRPr="00D722EC">
        <w:t>epätasaisesti jakaantuneen säteilyaltistuksen tapauksessa arvio eri kehonosien ekvivalenttiannoksista;</w:t>
      </w:r>
    </w:p>
    <w:p w14:paraId="343B930A" w14:textId="77777777" w:rsidR="00123550" w:rsidRPr="00C92FA7" w:rsidRDefault="00123550" w:rsidP="00624C57">
      <w:pPr>
        <w:pStyle w:val="Eivli"/>
        <w:numPr>
          <w:ilvl w:val="0"/>
          <w:numId w:val="10"/>
        </w:numPr>
      </w:pPr>
      <w:r>
        <w:t>sisäisen altistuksen</w:t>
      </w:r>
      <w:r w:rsidRPr="00D722EC">
        <w:t xml:space="preserve"> tapauksessa arvio </w:t>
      </w:r>
      <w:r w:rsidRPr="00CB1AE1">
        <w:t>radionuklidien saannista tai</w:t>
      </w:r>
      <w:r w:rsidRPr="00D722EC">
        <w:t xml:space="preserve"> efektiivisen annoksen kertymästä</w:t>
      </w:r>
      <w:r>
        <w:t>.</w:t>
      </w:r>
    </w:p>
    <w:p w14:paraId="38AB383B" w14:textId="77777777" w:rsidR="00123550" w:rsidRDefault="00123550" w:rsidP="00123550">
      <w:pPr>
        <w:pStyle w:val="Eivli"/>
      </w:pPr>
    </w:p>
    <w:p w14:paraId="5869BE95" w14:textId="77777777" w:rsidR="00133061" w:rsidRDefault="00133061" w:rsidP="00123550">
      <w:pPr>
        <w:pStyle w:val="Eivli"/>
      </w:pPr>
    </w:p>
    <w:p w14:paraId="1B98F1E6" w14:textId="781B4F03" w:rsidR="00123550" w:rsidRDefault="000163CE" w:rsidP="00123550">
      <w:pPr>
        <w:pStyle w:val="Eivli"/>
        <w:jc w:val="center"/>
      </w:pPr>
      <w:r>
        <w:t>39 §</w:t>
      </w:r>
    </w:p>
    <w:p w14:paraId="5584BC73" w14:textId="77777777" w:rsidR="00123550" w:rsidRDefault="00123550" w:rsidP="00123550">
      <w:pPr>
        <w:pStyle w:val="Eivli"/>
        <w:jc w:val="center"/>
      </w:pPr>
      <w:r w:rsidRPr="00C92FA7">
        <w:rPr>
          <w:i/>
        </w:rPr>
        <w:t>Altistusolosuhteiden tarkkailun ja henkilökohtaisen annostarkkailun tulosten</w:t>
      </w:r>
      <w:r>
        <w:rPr>
          <w:i/>
        </w:rPr>
        <w:t xml:space="preserve"> säilyttäminen</w:t>
      </w:r>
    </w:p>
    <w:p w14:paraId="603E74F2" w14:textId="77777777" w:rsidR="00123550" w:rsidRDefault="00123550" w:rsidP="00123550">
      <w:pPr>
        <w:pStyle w:val="Eivli"/>
      </w:pPr>
    </w:p>
    <w:p w14:paraId="57195AB4" w14:textId="1B6A353D" w:rsidR="00123550" w:rsidRDefault="00123550" w:rsidP="00123550">
      <w:pPr>
        <w:pStyle w:val="Eivli"/>
      </w:pPr>
      <w:r w:rsidRPr="00D722EC">
        <w:t xml:space="preserve">Altistusolosuhteiden tarkkailun tuloksia on säilytettävä vähintään viiden vuoden ajan ja niin kauan kuin se on tarpeen yksilönsuoja- ja optimointiperiaatteen </w:t>
      </w:r>
      <w:r w:rsidR="00B77F6B">
        <w:t xml:space="preserve">toteutumisen </w:t>
      </w:r>
      <w:r w:rsidRPr="00D722EC">
        <w:t>varmistamiseksi tai toiminnan turvallisuuden ja työmenetelmien kehittämistä varten</w:t>
      </w:r>
      <w:r>
        <w:t>.</w:t>
      </w:r>
    </w:p>
    <w:p w14:paraId="02B98FB9" w14:textId="77777777" w:rsidR="00123550" w:rsidRDefault="00123550" w:rsidP="00123550">
      <w:pPr>
        <w:pStyle w:val="Eivli"/>
      </w:pPr>
    </w:p>
    <w:p w14:paraId="23CB6800" w14:textId="77777777" w:rsidR="00123550" w:rsidRDefault="00123550" w:rsidP="00123550">
      <w:pPr>
        <w:pStyle w:val="Eivli"/>
      </w:pPr>
      <w:r w:rsidRPr="00823C0B">
        <w:t xml:space="preserve">Työntekijän henkilökohtaisen annostarkkailun tulokset on säilytettävä työntekijän koko työssäoloajalta niin kauan, kun työntekijä on toiminnanharjoittajan tai työnantajan palveluksessa. Samoin on säilytettävä työntekijän henkilökohtaisen annoksen määrittämisen </w:t>
      </w:r>
      <w:r>
        <w:t>kannalta</w:t>
      </w:r>
      <w:r w:rsidRPr="00823C0B">
        <w:t xml:space="preserve"> olennaiset tiedot, kuten kilpirauhas- ja ihokontaminaatiomittausten tulokset</w:t>
      </w:r>
      <w:r>
        <w:t>.</w:t>
      </w:r>
    </w:p>
    <w:p w14:paraId="4D619FE5" w14:textId="77777777" w:rsidR="00123550" w:rsidRDefault="00123550" w:rsidP="00123550">
      <w:pPr>
        <w:pStyle w:val="Eivli"/>
      </w:pPr>
    </w:p>
    <w:p w14:paraId="353FE125" w14:textId="77777777" w:rsidR="00123550" w:rsidRPr="00D722EC" w:rsidRDefault="00123550" w:rsidP="00123550">
      <w:pPr>
        <w:pStyle w:val="Eivli"/>
      </w:pPr>
      <w:r w:rsidRPr="00D722EC">
        <w:t>Tietojen säilyttämisestä säädetään myös henkilötietolaissa (523/1999</w:t>
      </w:r>
      <w:r>
        <w:t>).</w:t>
      </w:r>
    </w:p>
    <w:p w14:paraId="6EAD10D2" w14:textId="77777777" w:rsidR="00123550" w:rsidRDefault="00123550" w:rsidP="00123550">
      <w:pPr>
        <w:pStyle w:val="Eivli"/>
      </w:pPr>
    </w:p>
    <w:p w14:paraId="006B33F7" w14:textId="77777777" w:rsidR="00123550" w:rsidRDefault="00123550" w:rsidP="00123550">
      <w:pPr>
        <w:pStyle w:val="Eivli"/>
      </w:pPr>
    </w:p>
    <w:p w14:paraId="2BB53EF5" w14:textId="51070BB6" w:rsidR="00123550" w:rsidRDefault="000163CE" w:rsidP="00123550">
      <w:pPr>
        <w:pStyle w:val="Eivli"/>
        <w:jc w:val="center"/>
      </w:pPr>
      <w:r>
        <w:t>40 §</w:t>
      </w:r>
    </w:p>
    <w:p w14:paraId="633D07A2" w14:textId="77777777" w:rsidR="00123550" w:rsidRDefault="00123550" w:rsidP="00123550">
      <w:pPr>
        <w:pStyle w:val="Eivli"/>
        <w:jc w:val="center"/>
      </w:pPr>
      <w:r>
        <w:rPr>
          <w:i/>
        </w:rPr>
        <w:t>Suojelu raskauden ja imetyksen aikana</w:t>
      </w:r>
    </w:p>
    <w:p w14:paraId="375AB3E5" w14:textId="77777777" w:rsidR="00123550" w:rsidRDefault="00123550" w:rsidP="00123550">
      <w:pPr>
        <w:pStyle w:val="Eivli"/>
      </w:pPr>
    </w:p>
    <w:p w14:paraId="2DB438DA" w14:textId="0E852F27" w:rsidR="00123550" w:rsidRPr="00347141" w:rsidRDefault="00123550" w:rsidP="00123550">
      <w:pPr>
        <w:pStyle w:val="Eivli"/>
      </w:pPr>
      <w:r w:rsidRPr="00347141">
        <w:t xml:space="preserve">Raskaana olevan työntekijän työ on järjestettävä niin, että sikiön ekvivalenttiannos on niin pieni kuin käytännöllisin toimenpitein on mahdollista eikä se </w:t>
      </w:r>
      <w:r w:rsidRPr="00347141" w:rsidDel="004F2D23">
        <w:t xml:space="preserve">ole </w:t>
      </w:r>
      <w:r>
        <w:t>suurempi kuin</w:t>
      </w:r>
      <w:r w:rsidRPr="00347141">
        <w:t xml:space="preserve"> </w:t>
      </w:r>
      <w:r w:rsidR="00103365">
        <w:t>yksi millisievert</w:t>
      </w:r>
      <w:r w:rsidRPr="00347141">
        <w:t xml:space="preserve"> raskausaikana sen jälkeen, kun työntekijän on ilmoittanut raskaudestaan toiminnanharjoittajalle tai ulkopuolisen työntek</w:t>
      </w:r>
      <w:r>
        <w:t>i</w:t>
      </w:r>
      <w:r w:rsidRPr="00347141">
        <w:t>jän tapauksessa työnantajalle</w:t>
      </w:r>
      <w:r>
        <w:t>.</w:t>
      </w:r>
    </w:p>
    <w:p w14:paraId="75F5C2CE" w14:textId="77777777" w:rsidR="00123550" w:rsidRDefault="00123550" w:rsidP="00123550">
      <w:pPr>
        <w:pStyle w:val="Eivli"/>
      </w:pPr>
    </w:p>
    <w:p w14:paraId="703F6134" w14:textId="6BBE64F6" w:rsidR="00123550" w:rsidRPr="00347141" w:rsidRDefault="00123550" w:rsidP="00123550">
      <w:pPr>
        <w:pStyle w:val="Eivli"/>
      </w:pPr>
      <w:r w:rsidRPr="00347141">
        <w:lastRenderedPageBreak/>
        <w:t xml:space="preserve">Lasta imettävällä työntekijällä ei saa teettää työtä, johon liittyy radionuklidien </w:t>
      </w:r>
      <w:r w:rsidR="00A63383" w:rsidRPr="00347141">
        <w:t>saann</w:t>
      </w:r>
      <w:r w:rsidR="00A63383">
        <w:t>i</w:t>
      </w:r>
      <w:r w:rsidR="00A63383" w:rsidRPr="00347141">
        <w:t xml:space="preserve">n </w:t>
      </w:r>
      <w:r w:rsidRPr="00347141">
        <w:t>tai kehon kontaminaation riski</w:t>
      </w:r>
      <w:r>
        <w:t>.</w:t>
      </w:r>
    </w:p>
    <w:p w14:paraId="4A80F835" w14:textId="77777777" w:rsidR="00123550" w:rsidRDefault="00123550" w:rsidP="00123550">
      <w:pPr>
        <w:pStyle w:val="Eivli"/>
      </w:pPr>
    </w:p>
    <w:p w14:paraId="50BEEDE2" w14:textId="77777777" w:rsidR="00123550" w:rsidRDefault="00123550" w:rsidP="00123550">
      <w:pPr>
        <w:pStyle w:val="Eivli"/>
      </w:pPr>
    </w:p>
    <w:p w14:paraId="47B8CEC4" w14:textId="0783AFD1" w:rsidR="00123550" w:rsidRDefault="00123550" w:rsidP="00123550">
      <w:pPr>
        <w:pStyle w:val="Eivli"/>
        <w:jc w:val="center"/>
      </w:pPr>
    </w:p>
    <w:p w14:paraId="02FD9B9F" w14:textId="4D49F439" w:rsidR="00DE2DEA" w:rsidRDefault="00DE2DEA" w:rsidP="00123550">
      <w:pPr>
        <w:pStyle w:val="Eivli"/>
        <w:jc w:val="center"/>
        <w:rPr>
          <w:i/>
        </w:rPr>
      </w:pPr>
      <w:r>
        <w:t>41 §</w:t>
      </w:r>
    </w:p>
    <w:p w14:paraId="17E122FA" w14:textId="77777777" w:rsidR="00123550" w:rsidRPr="00347141" w:rsidRDefault="00123550" w:rsidP="00123550">
      <w:pPr>
        <w:pStyle w:val="Eivli"/>
        <w:jc w:val="center"/>
        <w:rPr>
          <w:i/>
        </w:rPr>
      </w:pPr>
      <w:r w:rsidRPr="00347141">
        <w:rPr>
          <w:i/>
        </w:rPr>
        <w:t>Annosrekisteriin sisällytettävät tiedot</w:t>
      </w:r>
    </w:p>
    <w:p w14:paraId="33078845" w14:textId="77777777" w:rsidR="00123550" w:rsidRDefault="00123550" w:rsidP="00123550">
      <w:pPr>
        <w:pStyle w:val="Eivli"/>
      </w:pPr>
    </w:p>
    <w:p w14:paraId="4303826D" w14:textId="77777777" w:rsidR="00123550" w:rsidRDefault="00123550" w:rsidP="00123550">
      <w:pPr>
        <w:pStyle w:val="Eivli"/>
      </w:pPr>
      <w:r w:rsidRPr="007B6040">
        <w:t>Annosrekisteriin kirjataan:</w:t>
      </w:r>
    </w:p>
    <w:p w14:paraId="78AF74BF" w14:textId="77777777" w:rsidR="00123550" w:rsidRDefault="00123550" w:rsidP="00624C57">
      <w:pPr>
        <w:pStyle w:val="Eivli"/>
        <w:numPr>
          <w:ilvl w:val="0"/>
          <w:numId w:val="11"/>
        </w:numPr>
      </w:pPr>
      <w:r w:rsidRPr="007B6040">
        <w:t>säteilytoimintaan osallistuneiden työntekijöiden henkilökohtaisen annostarkkailun tulokset;</w:t>
      </w:r>
    </w:p>
    <w:p w14:paraId="7E1ECBD4" w14:textId="77777777" w:rsidR="00123550" w:rsidRDefault="00123550" w:rsidP="00624C57">
      <w:pPr>
        <w:pStyle w:val="Eivli"/>
        <w:numPr>
          <w:ilvl w:val="0"/>
          <w:numId w:val="11"/>
        </w:numPr>
      </w:pPr>
      <w:r w:rsidRPr="007B6040">
        <w:t>säteilyturvallisuuspoikkeamasta työntekijälle aiheutuneet annokset;</w:t>
      </w:r>
    </w:p>
    <w:p w14:paraId="7E7E7B5F" w14:textId="77777777" w:rsidR="00123550" w:rsidRDefault="00123550" w:rsidP="00624C57">
      <w:pPr>
        <w:pStyle w:val="Eivli"/>
        <w:numPr>
          <w:ilvl w:val="0"/>
          <w:numId w:val="11"/>
        </w:numPr>
      </w:pPr>
      <w:r w:rsidRPr="007B6040">
        <w:t>säteilyvaaratilanteesta työntekijöille, säteilyvaaratyöntekijöille ja säteilyvaara-av</w:t>
      </w:r>
      <w:r>
        <w:t>ustajille aiheutuneet annokset.</w:t>
      </w:r>
    </w:p>
    <w:p w14:paraId="554FF95A" w14:textId="77777777" w:rsidR="00123550" w:rsidRDefault="00123550" w:rsidP="00123550">
      <w:pPr>
        <w:pStyle w:val="Eivli"/>
      </w:pPr>
    </w:p>
    <w:p w14:paraId="781DC5B0" w14:textId="242B996E" w:rsidR="00123550" w:rsidRDefault="00123550" w:rsidP="00123550">
      <w:pPr>
        <w:pStyle w:val="Eivli"/>
      </w:pPr>
      <w:r w:rsidRPr="007B6040">
        <w:t>Annosrekisteriin merkitään työntekijän, säteilyvaaratyöntekijän ja säteilyvaara-avustajan etunimi, sukunimi, henkilötunnus, sukupuoli ja kansalaisuus.</w:t>
      </w:r>
    </w:p>
    <w:p w14:paraId="4BEB7D1D" w14:textId="77777777" w:rsidR="00511D25" w:rsidRDefault="00511D25" w:rsidP="00123550">
      <w:pPr>
        <w:pStyle w:val="Eivli"/>
      </w:pPr>
    </w:p>
    <w:p w14:paraId="2935E288" w14:textId="061D370E" w:rsidR="00123550" w:rsidRDefault="00123550" w:rsidP="00123550">
      <w:pPr>
        <w:pStyle w:val="Eivli"/>
      </w:pPr>
      <w:r w:rsidRPr="007B6040">
        <w:t>Annosrekisteriin kirjataan henkilökohtaisen annostarkkailun tuloksista an</w:t>
      </w:r>
      <w:r>
        <w:t>n</w:t>
      </w:r>
      <w:r w:rsidRPr="007B6040">
        <w:t xml:space="preserve">ostarkkailujakson ajankohta, efektiivinen annos </w:t>
      </w:r>
      <w:r w:rsidR="00103365">
        <w:t>millisieverteinä</w:t>
      </w:r>
      <w:r w:rsidRPr="007B6040">
        <w:t xml:space="preserve">, epäyhtenäisesti jakaantuneen säteilyn tapauksessa eri kehonosien ekvivalenttiannokset </w:t>
      </w:r>
      <w:r w:rsidR="00103365">
        <w:t>millisieverteinä</w:t>
      </w:r>
      <w:r w:rsidRPr="007B6040">
        <w:t xml:space="preserve"> ja radionuklidien </w:t>
      </w:r>
      <w:r w:rsidR="00A63383" w:rsidRPr="00A63383">
        <w:t>sa</w:t>
      </w:r>
      <w:r w:rsidR="00A63383" w:rsidRPr="00CB1AE1">
        <w:t>annin</w:t>
      </w:r>
      <w:r w:rsidRPr="007B6040">
        <w:t xml:space="preserve"> tapauksessa efektiivisen annoksen kertymä </w:t>
      </w:r>
      <w:r w:rsidR="00103365">
        <w:t>millisieverteinä</w:t>
      </w:r>
      <w:r w:rsidRPr="007B6040">
        <w:t>.</w:t>
      </w:r>
    </w:p>
    <w:p w14:paraId="13403CF9" w14:textId="77777777" w:rsidR="00123550" w:rsidRDefault="00123550" w:rsidP="00123550">
      <w:pPr>
        <w:pStyle w:val="Eivli"/>
      </w:pPr>
    </w:p>
    <w:p w14:paraId="226FCD76" w14:textId="77777777" w:rsidR="00123550" w:rsidRDefault="00123550" w:rsidP="00123550">
      <w:pPr>
        <w:pStyle w:val="Eivli"/>
      </w:pPr>
      <w:r w:rsidRPr="007B6040">
        <w:t xml:space="preserve">Toiminnanharjoittajasta ja ulkopuolisen työntekijän työnantajasta annosrekisteriin merkitään toiminnanharjoittajan ja työnantajan nimi, osoite ja yksilöllinen tunniste. Lisäksi rekisteriin merkitään henkilökohtaisen annostarkkailun alkamis- ja loppumispäivä, tieto toiminnasta ja altistuksen laadusta sekä </w:t>
      </w:r>
      <w:r>
        <w:t>säteily</w:t>
      </w:r>
      <w:r w:rsidRPr="007B6040">
        <w:t xml:space="preserve">työntekijän </w:t>
      </w:r>
      <w:r>
        <w:t>luokasta</w:t>
      </w:r>
      <w:r w:rsidRPr="007B6040">
        <w:t>.</w:t>
      </w:r>
    </w:p>
    <w:p w14:paraId="3629F9C4" w14:textId="77777777" w:rsidR="00123550" w:rsidRDefault="00123550" w:rsidP="00123550">
      <w:pPr>
        <w:pStyle w:val="Eivli"/>
      </w:pPr>
    </w:p>
    <w:p w14:paraId="035F9C23" w14:textId="77777777" w:rsidR="00123550" w:rsidRDefault="00123550" w:rsidP="00123550">
      <w:pPr>
        <w:pStyle w:val="Eivli"/>
      </w:pPr>
      <w:r w:rsidRPr="007B6040">
        <w:t>Annosrekisteriin talletetaan myös henkilökohtaisen annoksen määrittämiseksi käytetyt altistusolosuhteiden tarkkailun tulokset.</w:t>
      </w:r>
    </w:p>
    <w:p w14:paraId="05F5AC95" w14:textId="77777777" w:rsidR="00123550" w:rsidRDefault="00123550" w:rsidP="00123550">
      <w:pPr>
        <w:pStyle w:val="Eivli"/>
      </w:pPr>
    </w:p>
    <w:p w14:paraId="429BB3B4" w14:textId="2A7232A1" w:rsidR="00DA5A1E" w:rsidRDefault="00123550" w:rsidP="00123550">
      <w:pPr>
        <w:pStyle w:val="Eivli"/>
      </w:pPr>
      <w:r w:rsidRPr="007B6040">
        <w:t>Säteilyturvallisuuspoikkeamista talletetaan myös altistusolosuhteita ja suoritettuja toimenpiteitä koskevat selvitykset</w:t>
      </w:r>
      <w:r>
        <w:t>.</w:t>
      </w:r>
    </w:p>
    <w:p w14:paraId="1B4E6B2C" w14:textId="77777777" w:rsidR="00CB1AE1" w:rsidRDefault="00CB1AE1" w:rsidP="00123550">
      <w:pPr>
        <w:pStyle w:val="Eivli"/>
      </w:pPr>
    </w:p>
    <w:p w14:paraId="3DF04B5B" w14:textId="77777777" w:rsidR="001D57E2" w:rsidRPr="00B11C76" w:rsidRDefault="001D57E2" w:rsidP="00123550">
      <w:pPr>
        <w:pStyle w:val="Eivli"/>
      </w:pPr>
    </w:p>
    <w:p w14:paraId="21FE42A1" w14:textId="273BD5A4" w:rsidR="00123550" w:rsidRDefault="00C66DC3" w:rsidP="00123550">
      <w:pPr>
        <w:pStyle w:val="Eivli"/>
        <w:jc w:val="center"/>
      </w:pPr>
      <w:r>
        <w:t xml:space="preserve">42 </w:t>
      </w:r>
      <w:r w:rsidR="00123550">
        <w:t>§</w:t>
      </w:r>
    </w:p>
    <w:p w14:paraId="324EDD40" w14:textId="77777777" w:rsidR="00123550" w:rsidRPr="00B45260" w:rsidRDefault="00123550" w:rsidP="00123550">
      <w:pPr>
        <w:pStyle w:val="Eivli"/>
        <w:jc w:val="center"/>
        <w:rPr>
          <w:i/>
        </w:rPr>
      </w:pPr>
      <w:r w:rsidRPr="00B45260">
        <w:rPr>
          <w:i/>
        </w:rPr>
        <w:t>Seuranta-asiakirjaa koskevat vaatimukset</w:t>
      </w:r>
    </w:p>
    <w:p w14:paraId="2ABBA28B" w14:textId="77777777" w:rsidR="00133061" w:rsidRDefault="00133061" w:rsidP="00123550">
      <w:pPr>
        <w:pStyle w:val="Eivli"/>
      </w:pPr>
    </w:p>
    <w:p w14:paraId="62290080" w14:textId="5575C803" w:rsidR="00123550" w:rsidRDefault="00123550" w:rsidP="00123550">
      <w:pPr>
        <w:pStyle w:val="Eivli"/>
      </w:pPr>
      <w:r w:rsidRPr="00B11C76">
        <w:t xml:space="preserve">Säteilyturvakeskus antaa </w:t>
      </w:r>
      <w:r w:rsidR="00853361">
        <w:t>ulkopuolise</w:t>
      </w:r>
      <w:r w:rsidR="000B2864">
        <w:t xml:space="preserve">lle työntekijälle </w:t>
      </w:r>
      <w:r>
        <w:t>tämän pyynnöstä annosrekisteristä henkilökohtaisesta säteilyaltistuksesta asiakirjan (</w:t>
      </w:r>
      <w:r w:rsidRPr="007514C5">
        <w:rPr>
          <w:i/>
        </w:rPr>
        <w:t>seuranta-asiakirja</w:t>
      </w:r>
      <w:r>
        <w:t>)</w:t>
      </w:r>
      <w:r w:rsidR="000B2864">
        <w:t>, johon merkitään:</w:t>
      </w:r>
    </w:p>
    <w:p w14:paraId="6EC54EA4" w14:textId="6FA03511" w:rsidR="00D02124" w:rsidRDefault="00CB1AE1" w:rsidP="000B2864">
      <w:pPr>
        <w:pStyle w:val="Eivli"/>
        <w:numPr>
          <w:ilvl w:val="0"/>
          <w:numId w:val="50"/>
        </w:numPr>
      </w:pPr>
      <w:r>
        <w:t>tie</w:t>
      </w:r>
      <w:r w:rsidR="000B2864">
        <w:t>to</w:t>
      </w:r>
      <w:r>
        <w:t xml:space="preserve"> t</w:t>
      </w:r>
      <w:r w:rsidRPr="00B11C76">
        <w:t>yöntekijän henkilökohtai</w:t>
      </w:r>
      <w:r>
        <w:t>sesta</w:t>
      </w:r>
      <w:r w:rsidRPr="00B11C76">
        <w:t xml:space="preserve"> </w:t>
      </w:r>
      <w:r>
        <w:t xml:space="preserve">efektiivisestä </w:t>
      </w:r>
      <w:r w:rsidRPr="00B11C76">
        <w:t>anno</w:t>
      </w:r>
      <w:r>
        <w:t>ksesta millisieverteinä</w:t>
      </w:r>
      <w:r w:rsidRPr="00B11C76">
        <w:t xml:space="preserve"> </w:t>
      </w:r>
      <w:r>
        <w:t>vähintään viiden</w:t>
      </w:r>
      <w:r w:rsidRPr="00B11C76">
        <w:t xml:space="preserve"> vuoden jaksolta, kuluva vuosi mukaan lukien</w:t>
      </w:r>
      <w:r w:rsidR="000B2864">
        <w:t>;</w:t>
      </w:r>
    </w:p>
    <w:p w14:paraId="2A7F08AB" w14:textId="1AD2B3CF" w:rsidR="00CB1AE1" w:rsidRDefault="000B2864" w:rsidP="000B2864">
      <w:pPr>
        <w:pStyle w:val="Eivli"/>
        <w:numPr>
          <w:ilvl w:val="0"/>
          <w:numId w:val="50"/>
        </w:numPr>
      </w:pPr>
      <w:r>
        <w:t>e</w:t>
      </w:r>
      <w:r w:rsidR="00CB1AE1" w:rsidRPr="00B11C76">
        <w:t>pähomogeenisessa säteilykentän tilanteessa</w:t>
      </w:r>
      <w:r w:rsidR="00CB1AE1">
        <w:t>, siltä osin kuin määrityksiä on tehty</w:t>
      </w:r>
      <w:r w:rsidR="003A1E52">
        <w:t>,</w:t>
      </w:r>
      <w:r w:rsidR="00CB1AE1">
        <w:t xml:space="preserve"> </w:t>
      </w:r>
      <w:r w:rsidR="00422F4D">
        <w:t>tieto</w:t>
      </w:r>
      <w:r w:rsidR="00CB1AE1">
        <w:t xml:space="preserve"> </w:t>
      </w:r>
      <w:r w:rsidR="00CB1AE1" w:rsidRPr="00B11C76">
        <w:t>altistuneiden kehon osien annos kuten silmän, käsien, käsivarsien, jalkaterien ja nil</w:t>
      </w:r>
      <w:r w:rsidR="00CB1AE1">
        <w:t xml:space="preserve">kkojen </w:t>
      </w:r>
      <w:r w:rsidR="00422F4D">
        <w:t xml:space="preserve">ekvivalenttiannoksesta </w:t>
      </w:r>
      <w:r w:rsidR="00422F4D" w:rsidRPr="00B11C76">
        <w:t xml:space="preserve"> </w:t>
      </w:r>
      <w:r w:rsidR="00CB1AE1">
        <w:t>millisieverteinä</w:t>
      </w:r>
      <w:r w:rsidR="00CB1AE1" w:rsidRPr="00B11C76">
        <w:t xml:space="preserve"> ja radioaktiivisen saann</w:t>
      </w:r>
      <w:r w:rsidR="00CB1AE1">
        <w:t>i</w:t>
      </w:r>
      <w:r w:rsidR="00CB1AE1" w:rsidRPr="00B11C76">
        <w:t>n tapauksessa efekt</w:t>
      </w:r>
      <w:r w:rsidR="00CB1AE1">
        <w:t>iivisen annoksen kertymä millisieverteinä</w:t>
      </w:r>
      <w:r>
        <w:t>;</w:t>
      </w:r>
    </w:p>
    <w:p w14:paraId="509980D4" w14:textId="63EB87BF" w:rsidR="000B2864" w:rsidRDefault="000B2864" w:rsidP="000B2864">
      <w:pPr>
        <w:pStyle w:val="Eivli"/>
        <w:numPr>
          <w:ilvl w:val="0"/>
          <w:numId w:val="50"/>
        </w:numPr>
      </w:pPr>
      <w:r>
        <w:t xml:space="preserve">asiakirjan antaja ja tämän </w:t>
      </w:r>
      <w:r w:rsidR="00D02124" w:rsidRPr="00B11C76">
        <w:t>osoite</w:t>
      </w:r>
      <w:r>
        <w:t>;</w:t>
      </w:r>
    </w:p>
    <w:p w14:paraId="3A12CD51" w14:textId="2940EA68" w:rsidR="00D02124" w:rsidRDefault="00D02124" w:rsidP="000B2864">
      <w:pPr>
        <w:pStyle w:val="Eivli"/>
        <w:numPr>
          <w:ilvl w:val="0"/>
          <w:numId w:val="50"/>
        </w:numPr>
      </w:pPr>
      <w:r w:rsidRPr="00B11C76">
        <w:t xml:space="preserve"> asiakirjan antamispäivä.</w:t>
      </w:r>
    </w:p>
    <w:p w14:paraId="667C49E8" w14:textId="50ABA23D" w:rsidR="00CB1AE1" w:rsidRDefault="00CB1AE1" w:rsidP="000B2864">
      <w:pPr>
        <w:pStyle w:val="Eivli"/>
        <w:ind w:left="720"/>
      </w:pPr>
    </w:p>
    <w:p w14:paraId="674FC1BA" w14:textId="3A6D535A" w:rsidR="000B2864" w:rsidRDefault="000B2864" w:rsidP="000B2864">
      <w:pPr>
        <w:pStyle w:val="Eivli"/>
      </w:pPr>
      <w:r>
        <w:t xml:space="preserve">Säteilyturvakeskus ei </w:t>
      </w:r>
      <w:r w:rsidRPr="00D03B7B">
        <w:t xml:space="preserve">ilman hyväksyttävää perustetta </w:t>
      </w:r>
      <w:r>
        <w:t xml:space="preserve">anna työntekijälle uutta seuranta-asiakirjaa ulkopuoliselle työntekijälle </w:t>
      </w:r>
      <w:r w:rsidRPr="00D03B7B">
        <w:t>ennen kuin aiemmin annettu asiakirja on</w:t>
      </w:r>
      <w:r>
        <w:t xml:space="preserve"> </w:t>
      </w:r>
      <w:r w:rsidRPr="00D03B7B">
        <w:t>palautettu</w:t>
      </w:r>
      <w:r>
        <w:t xml:space="preserve"> </w:t>
      </w:r>
      <w:r w:rsidR="00422F4D">
        <w:t xml:space="preserve">1 momentissa tarkoitetuilla tiedoilla </w:t>
      </w:r>
      <w:r>
        <w:t>täytettynä.</w:t>
      </w:r>
    </w:p>
    <w:p w14:paraId="23E6C27C" w14:textId="29E9A1A5" w:rsidR="00007C04" w:rsidRDefault="00007C04" w:rsidP="00955175">
      <w:pPr>
        <w:pStyle w:val="Eivli"/>
      </w:pPr>
    </w:p>
    <w:p w14:paraId="0B5DB5DE" w14:textId="77777777" w:rsidR="00133061" w:rsidRDefault="00133061" w:rsidP="00955175">
      <w:pPr>
        <w:pStyle w:val="Eivli"/>
      </w:pPr>
    </w:p>
    <w:p w14:paraId="5F39CD97" w14:textId="74F1A15D" w:rsidR="00955175" w:rsidRDefault="00584C60" w:rsidP="00955175">
      <w:pPr>
        <w:pStyle w:val="Eivli"/>
        <w:jc w:val="center"/>
      </w:pPr>
      <w:r>
        <w:t>8</w:t>
      </w:r>
      <w:r w:rsidR="00955175">
        <w:t xml:space="preserve"> luku</w:t>
      </w:r>
    </w:p>
    <w:p w14:paraId="47910AB3" w14:textId="30DA4065" w:rsidR="00955175" w:rsidRDefault="0094234A" w:rsidP="00955175">
      <w:pPr>
        <w:pStyle w:val="Eivli"/>
        <w:jc w:val="center"/>
        <w:rPr>
          <w:b/>
        </w:rPr>
      </w:pPr>
      <w:r>
        <w:rPr>
          <w:b/>
        </w:rPr>
        <w:lastRenderedPageBreak/>
        <w:t>Rajattu röntgentutkimukseen lähettäminen</w:t>
      </w:r>
    </w:p>
    <w:p w14:paraId="2FF1E020" w14:textId="77777777" w:rsidR="00963744" w:rsidRDefault="00963744" w:rsidP="00963744">
      <w:pPr>
        <w:pStyle w:val="Eivli"/>
      </w:pPr>
    </w:p>
    <w:p w14:paraId="06A5CAD8" w14:textId="72611B98" w:rsidR="00963744" w:rsidRDefault="00C66DC3" w:rsidP="00963744">
      <w:pPr>
        <w:pStyle w:val="Eivli"/>
        <w:jc w:val="center"/>
      </w:pPr>
      <w:r>
        <w:t xml:space="preserve">43 </w:t>
      </w:r>
      <w:r w:rsidR="00963744">
        <w:t>§</w:t>
      </w:r>
    </w:p>
    <w:p w14:paraId="5BFFA829" w14:textId="4C8A1CEA" w:rsidR="00963744" w:rsidRPr="002D3AAC" w:rsidRDefault="0094234A" w:rsidP="00963744">
      <w:pPr>
        <w:pStyle w:val="Eivli"/>
        <w:jc w:val="center"/>
        <w:rPr>
          <w:b/>
        </w:rPr>
      </w:pPr>
      <w:r>
        <w:rPr>
          <w:i/>
        </w:rPr>
        <w:t>L</w:t>
      </w:r>
      <w:r w:rsidR="00963744">
        <w:rPr>
          <w:i/>
        </w:rPr>
        <w:t>isäkoulutus ja kokemus</w:t>
      </w:r>
    </w:p>
    <w:p w14:paraId="22543DA3" w14:textId="77777777" w:rsidR="00955175" w:rsidRPr="002D3AAC" w:rsidRDefault="00955175" w:rsidP="00955175">
      <w:pPr>
        <w:pStyle w:val="Eivli"/>
      </w:pPr>
    </w:p>
    <w:p w14:paraId="51DA274D" w14:textId="67894772" w:rsidR="00955175" w:rsidRDefault="00963744" w:rsidP="00955175">
      <w:pPr>
        <w:pStyle w:val="Eivli"/>
      </w:pPr>
      <w:r w:rsidRPr="00963744">
        <w:t xml:space="preserve">Säteilylain </w:t>
      </w:r>
      <w:r w:rsidR="00A3463B" w:rsidRPr="00313970">
        <w:t>110</w:t>
      </w:r>
      <w:r w:rsidRPr="00313970">
        <w:t xml:space="preserve"> §:ssä</w:t>
      </w:r>
      <w:r w:rsidRPr="00963744">
        <w:t xml:space="preserve"> </w:t>
      </w:r>
      <w:r>
        <w:t>tarkoitetun</w:t>
      </w:r>
      <w:r w:rsidRPr="00963744">
        <w:t xml:space="preserve"> sairaanhoitajan ja suuhygienistin lisäkoulutuksen on täytettävä </w:t>
      </w:r>
      <w:r w:rsidRPr="00313970">
        <w:t xml:space="preserve">liitteessä </w:t>
      </w:r>
      <w:r w:rsidR="00624C57">
        <w:t>6</w:t>
      </w:r>
      <w:r w:rsidRPr="00963744">
        <w:t xml:space="preserve"> </w:t>
      </w:r>
      <w:r w:rsidR="00491142">
        <w:t>säädetyt</w:t>
      </w:r>
      <w:r w:rsidR="00491142" w:rsidRPr="00963744">
        <w:t xml:space="preserve"> </w:t>
      </w:r>
      <w:r w:rsidRPr="00963744">
        <w:t>vaatimukset.</w:t>
      </w:r>
    </w:p>
    <w:p w14:paraId="39228512" w14:textId="77777777" w:rsidR="00955175" w:rsidRDefault="00955175" w:rsidP="00955175">
      <w:pPr>
        <w:pStyle w:val="Eivli"/>
      </w:pPr>
    </w:p>
    <w:p w14:paraId="7C57E40B" w14:textId="52664CEA" w:rsidR="00955175" w:rsidRDefault="00963744" w:rsidP="00955175">
      <w:pPr>
        <w:pStyle w:val="Eivli"/>
      </w:pPr>
      <w:r w:rsidRPr="00963744">
        <w:t xml:space="preserve">Teoreettisia opintoja on täydennettävä käytännön opiskelulla terveydenhuollon toimintayksikössä. Lääkärin ammattia itsenäisesti harjoittamaan oikeutetun laillistetun lääkärin on ohjattava työssä tapahtuvaa oppimista ja osallistuttava työelämässä tapahtuvan näytön arviointiin. </w:t>
      </w:r>
      <w:r w:rsidR="000B2864">
        <w:t>Käytännön harjoittelusta tehtävään s</w:t>
      </w:r>
      <w:r w:rsidRPr="00963744">
        <w:t>opimukseen sisällytetään tieto työssä tapahtuvaa opiskelua ohjaavasta lääkäristä</w:t>
      </w:r>
      <w:r w:rsidR="000B2864">
        <w:t xml:space="preserve"> tai hammaslääkäristä sekä tämän tehtävistä</w:t>
      </w:r>
      <w:r w:rsidRPr="00963744">
        <w:t>.</w:t>
      </w:r>
    </w:p>
    <w:p w14:paraId="52D47866" w14:textId="77777777" w:rsidR="00955175" w:rsidRDefault="00955175" w:rsidP="00955175">
      <w:pPr>
        <w:pStyle w:val="Eivli"/>
      </w:pPr>
    </w:p>
    <w:p w14:paraId="07B4E639" w14:textId="77777777" w:rsidR="00963744" w:rsidRDefault="00963744" w:rsidP="00955175">
      <w:pPr>
        <w:pStyle w:val="Eivli"/>
      </w:pPr>
    </w:p>
    <w:p w14:paraId="4D236232" w14:textId="4F020AA6" w:rsidR="00963744" w:rsidRDefault="00C66DC3" w:rsidP="00963744">
      <w:pPr>
        <w:pStyle w:val="Eivli"/>
        <w:jc w:val="center"/>
      </w:pPr>
      <w:r>
        <w:t xml:space="preserve">44 </w:t>
      </w:r>
      <w:r w:rsidR="00963744">
        <w:t>§</w:t>
      </w:r>
    </w:p>
    <w:p w14:paraId="254765F5" w14:textId="0CB7E5A3" w:rsidR="00963744" w:rsidRDefault="0094234A" w:rsidP="00963744">
      <w:pPr>
        <w:pStyle w:val="Eivli"/>
        <w:jc w:val="center"/>
        <w:rPr>
          <w:i/>
        </w:rPr>
      </w:pPr>
      <w:r>
        <w:rPr>
          <w:i/>
        </w:rPr>
        <w:t>O</w:t>
      </w:r>
      <w:r w:rsidR="00963744">
        <w:rPr>
          <w:i/>
        </w:rPr>
        <w:t>saamisen varmentaminen</w:t>
      </w:r>
    </w:p>
    <w:p w14:paraId="2A0051BE" w14:textId="77777777" w:rsidR="00963744" w:rsidRDefault="00963744" w:rsidP="00963744">
      <w:pPr>
        <w:pStyle w:val="Eivli"/>
      </w:pPr>
    </w:p>
    <w:p w14:paraId="3CE59B70" w14:textId="5848DF95" w:rsidR="00963744" w:rsidRDefault="00963744" w:rsidP="00963744">
      <w:pPr>
        <w:pStyle w:val="Eivli"/>
      </w:pPr>
      <w:r w:rsidRPr="00963744">
        <w:t>Rajatun röntgentutkimukseen lähettämisen edellyttämä osaaminen osoitetaan osaamisen näytöllä. Osaamisen näyttöön kuuluvat valtakunnallinen kirjallinen koe ja työelämässä tapahtuva näyttö.</w:t>
      </w:r>
    </w:p>
    <w:p w14:paraId="2E6D4CAC" w14:textId="77777777" w:rsidR="00963744" w:rsidRDefault="00963744" w:rsidP="00963744">
      <w:pPr>
        <w:pStyle w:val="Eivli"/>
      </w:pPr>
    </w:p>
    <w:p w14:paraId="4EDA3C48" w14:textId="77777777" w:rsidR="00963744" w:rsidRDefault="00963744" w:rsidP="00955175">
      <w:pPr>
        <w:pStyle w:val="Eivli"/>
      </w:pPr>
    </w:p>
    <w:p w14:paraId="5CB97BC7" w14:textId="070A1E93" w:rsidR="00E666D9" w:rsidRDefault="00C66DC3" w:rsidP="00E666D9">
      <w:pPr>
        <w:pStyle w:val="Eivli"/>
        <w:jc w:val="center"/>
      </w:pPr>
      <w:r>
        <w:t xml:space="preserve">45 </w:t>
      </w:r>
      <w:r w:rsidR="00E666D9">
        <w:t>§</w:t>
      </w:r>
    </w:p>
    <w:p w14:paraId="6153FDDE" w14:textId="33DA8624" w:rsidR="00E666D9" w:rsidRDefault="00E666D9" w:rsidP="00E666D9">
      <w:pPr>
        <w:pStyle w:val="Eivli"/>
        <w:jc w:val="center"/>
      </w:pPr>
      <w:r>
        <w:rPr>
          <w:i/>
        </w:rPr>
        <w:t>Kelpoisuus koulutukseen</w:t>
      </w:r>
    </w:p>
    <w:p w14:paraId="7F1C4647" w14:textId="77777777" w:rsidR="00963744" w:rsidRDefault="00963744" w:rsidP="00955175">
      <w:pPr>
        <w:pStyle w:val="Eivli"/>
      </w:pPr>
    </w:p>
    <w:p w14:paraId="663C52DA" w14:textId="28A1BF76" w:rsidR="00963744" w:rsidRDefault="00E666D9" w:rsidP="00955175">
      <w:pPr>
        <w:pStyle w:val="Eivli"/>
      </w:pPr>
      <w:r w:rsidRPr="00E666D9">
        <w:t xml:space="preserve">Säteilylain </w:t>
      </w:r>
      <w:r w:rsidR="000623AE" w:rsidRPr="000623AE">
        <w:t>110</w:t>
      </w:r>
      <w:r w:rsidRPr="000623AE">
        <w:t xml:space="preserve"> §:n 1 momentissa</w:t>
      </w:r>
      <w:r w:rsidRPr="00E666D9">
        <w:t xml:space="preserve"> tarkoitettuun rajatun röntgentutkimukseen lähettämisen lisäkoulutukseen saadaan ottaa laillistettu sairaanhoitaja.</w:t>
      </w:r>
    </w:p>
    <w:p w14:paraId="32D04750" w14:textId="77777777" w:rsidR="00E666D9" w:rsidRDefault="00E666D9" w:rsidP="00955175">
      <w:pPr>
        <w:pStyle w:val="Eivli"/>
      </w:pPr>
    </w:p>
    <w:p w14:paraId="5D28D3DE" w14:textId="18720660" w:rsidR="00E666D9" w:rsidRDefault="00E666D9" w:rsidP="00955175">
      <w:pPr>
        <w:pStyle w:val="Eivli"/>
      </w:pPr>
      <w:r w:rsidRPr="00E666D9">
        <w:t xml:space="preserve">Säteilylain </w:t>
      </w:r>
      <w:r w:rsidR="000623AE" w:rsidRPr="000623AE">
        <w:t>110</w:t>
      </w:r>
      <w:r w:rsidRPr="000623AE">
        <w:t xml:space="preserve"> §:n 2 momentissa</w:t>
      </w:r>
      <w:r w:rsidRPr="00E666D9">
        <w:t xml:space="preserve"> tarkoitettuun rajatun röntgentutkimukseen lähettämisen lisäkoulutukseen saadaan ottaa laillistettu suuhygienisti.</w:t>
      </w:r>
    </w:p>
    <w:p w14:paraId="1F69B9AA" w14:textId="7B3C3430" w:rsidR="00E666D9" w:rsidRDefault="00E666D9" w:rsidP="00955175">
      <w:pPr>
        <w:pStyle w:val="Eivli"/>
      </w:pPr>
    </w:p>
    <w:p w14:paraId="702CA17D" w14:textId="6A4CB5C6" w:rsidR="00E666D9" w:rsidRDefault="00E666D9" w:rsidP="00955175">
      <w:pPr>
        <w:pStyle w:val="Eivli"/>
      </w:pPr>
      <w:r w:rsidRPr="00E666D9">
        <w:t xml:space="preserve">Koulutukseen otettavalla on oltava vähintään kolmen vuoden käytännön kokemus sillä tehtäväalueella, jolla </w:t>
      </w:r>
      <w:r w:rsidR="006C3334">
        <w:t>hänen on tarkoitus lähettä</w:t>
      </w:r>
      <w:r w:rsidR="00F45121">
        <w:t>ä</w:t>
      </w:r>
      <w:r w:rsidRPr="00E666D9">
        <w:t xml:space="preserve"> röntgentutkimuksiin.</w:t>
      </w:r>
    </w:p>
    <w:p w14:paraId="70393107" w14:textId="77777777" w:rsidR="00E666D9" w:rsidRDefault="00E666D9" w:rsidP="00955175">
      <w:pPr>
        <w:pStyle w:val="Eivli"/>
      </w:pPr>
    </w:p>
    <w:p w14:paraId="789A78FE" w14:textId="77777777" w:rsidR="00E666D9" w:rsidRDefault="00E666D9" w:rsidP="00955175">
      <w:pPr>
        <w:pStyle w:val="Eivli"/>
      </w:pPr>
    </w:p>
    <w:p w14:paraId="2B44A7DE" w14:textId="1E7E86D7" w:rsidR="00E666D9" w:rsidRDefault="00C66DC3" w:rsidP="00E666D9">
      <w:pPr>
        <w:pStyle w:val="Eivli"/>
        <w:jc w:val="center"/>
      </w:pPr>
      <w:r>
        <w:t xml:space="preserve">46 </w:t>
      </w:r>
      <w:r w:rsidR="00E666D9">
        <w:t>§</w:t>
      </w:r>
    </w:p>
    <w:p w14:paraId="03E8CC44" w14:textId="22469605" w:rsidR="00E666D9" w:rsidRDefault="00E666D9" w:rsidP="00E666D9">
      <w:pPr>
        <w:pStyle w:val="Eivli"/>
        <w:jc w:val="center"/>
      </w:pPr>
      <w:r w:rsidRPr="00E666D9">
        <w:rPr>
          <w:i/>
        </w:rPr>
        <w:t>Todistus rajatun röntgentutkimukseen lähettämisen lisäkoulutuksesta</w:t>
      </w:r>
    </w:p>
    <w:p w14:paraId="60B4BF35" w14:textId="77777777" w:rsidR="00E666D9" w:rsidRDefault="00E666D9" w:rsidP="00E666D9">
      <w:pPr>
        <w:pStyle w:val="Eivli"/>
      </w:pPr>
    </w:p>
    <w:p w14:paraId="1118337E" w14:textId="1A1AABBD" w:rsidR="00E666D9" w:rsidRDefault="00DD091B" w:rsidP="00E666D9">
      <w:pPr>
        <w:pStyle w:val="Eivli"/>
      </w:pPr>
      <w:r>
        <w:t>Korkeakoulun lisäkoulutuksesta antamaan t</w:t>
      </w:r>
      <w:r w:rsidR="00832A87" w:rsidRPr="00832A87">
        <w:t xml:space="preserve">odistukseen merkitään koulutuksen laajuus, osaamiskokonaisuudet ja niiden näyttö, tieto koulutukseen sisältyvää käytännön opiskelua ohjanneesta lääkäristä sekä tieto siitä, että kyseessä on </w:t>
      </w:r>
      <w:r w:rsidR="00832A87" w:rsidRPr="000623AE">
        <w:t xml:space="preserve">säteilylain </w:t>
      </w:r>
      <w:r w:rsidR="000623AE" w:rsidRPr="000623AE">
        <w:t>110</w:t>
      </w:r>
      <w:r w:rsidR="00832A87" w:rsidRPr="000623AE">
        <w:t xml:space="preserve"> §:ssä</w:t>
      </w:r>
      <w:r w:rsidR="00832A87" w:rsidRPr="00832A87">
        <w:t xml:space="preserve"> tarkoitettu rajatun röntgentutkimukseen lähettämisen edellyttämä lisäkoulutus.</w:t>
      </w:r>
    </w:p>
    <w:p w14:paraId="687C1714" w14:textId="77777777" w:rsidR="00E666D9" w:rsidRDefault="00E666D9" w:rsidP="00E666D9">
      <w:pPr>
        <w:pStyle w:val="Eivli"/>
      </w:pPr>
    </w:p>
    <w:p w14:paraId="30AF8811" w14:textId="77777777" w:rsidR="00E666D9" w:rsidRDefault="00E666D9" w:rsidP="00E666D9">
      <w:pPr>
        <w:pStyle w:val="Eivli"/>
      </w:pPr>
    </w:p>
    <w:p w14:paraId="1D49176A" w14:textId="6DDB7867" w:rsidR="00F249D9" w:rsidRDefault="00584C60" w:rsidP="00F249D9">
      <w:pPr>
        <w:pStyle w:val="Eivli"/>
        <w:jc w:val="center"/>
      </w:pPr>
      <w:r>
        <w:t>9</w:t>
      </w:r>
      <w:r w:rsidR="00F249D9">
        <w:t xml:space="preserve"> luku</w:t>
      </w:r>
    </w:p>
    <w:p w14:paraId="60F5FE5B" w14:textId="2524DA77" w:rsidR="00F249D9" w:rsidRDefault="00F249D9" w:rsidP="00F249D9">
      <w:pPr>
        <w:pStyle w:val="Eivli"/>
        <w:jc w:val="center"/>
      </w:pPr>
      <w:r>
        <w:rPr>
          <w:b/>
        </w:rPr>
        <w:t>Henkilön kuvantamisesta aiheutuva muu kuin lääketieteellinen altistus</w:t>
      </w:r>
    </w:p>
    <w:p w14:paraId="18E50606" w14:textId="77777777" w:rsidR="00F249D9" w:rsidRDefault="00F249D9" w:rsidP="00F249D9">
      <w:pPr>
        <w:pStyle w:val="Eivli"/>
      </w:pPr>
    </w:p>
    <w:p w14:paraId="76436E6B" w14:textId="594B066C" w:rsidR="00F249D9" w:rsidRDefault="00C66DC3" w:rsidP="00F249D9">
      <w:pPr>
        <w:pStyle w:val="Eivli"/>
        <w:jc w:val="center"/>
      </w:pPr>
      <w:r>
        <w:t xml:space="preserve">47 </w:t>
      </w:r>
      <w:r w:rsidR="00F249D9">
        <w:t>§</w:t>
      </w:r>
    </w:p>
    <w:p w14:paraId="1F7C7179" w14:textId="0BD2C9BA" w:rsidR="00F249D9" w:rsidRDefault="00C203F0" w:rsidP="00F249D9">
      <w:pPr>
        <w:pStyle w:val="Eivli"/>
        <w:jc w:val="center"/>
      </w:pPr>
      <w:r>
        <w:rPr>
          <w:i/>
        </w:rPr>
        <w:t>Tietojen antaminen ja suostumuksen pyytäminen</w:t>
      </w:r>
    </w:p>
    <w:p w14:paraId="33F8C3C7" w14:textId="77777777" w:rsidR="00E666D9" w:rsidRDefault="00E666D9" w:rsidP="00E666D9">
      <w:pPr>
        <w:pStyle w:val="Eivli"/>
      </w:pPr>
    </w:p>
    <w:p w14:paraId="61C58917" w14:textId="4567674C" w:rsidR="00E666D9" w:rsidRDefault="004807A7" w:rsidP="00E666D9">
      <w:pPr>
        <w:pStyle w:val="Eivli"/>
      </w:pPr>
      <w:r>
        <w:t>Säteilylain 121 §</w:t>
      </w:r>
      <w:r w:rsidR="003F2604">
        <w:t>:n</w:t>
      </w:r>
      <w:r>
        <w:t xml:space="preserve"> 1 momentissa tarkoitetut tiedot on annettava altistettavan </w:t>
      </w:r>
      <w:r w:rsidR="00C203F0" w:rsidRPr="00C203F0">
        <w:t>henkilön äidinkielellä tai kielellä, jota hänen perustellusti voidaan olettaa ymmärtävän. Tie</w:t>
      </w:r>
      <w:r>
        <w:t>dot</w:t>
      </w:r>
      <w:r w:rsidR="00C203F0" w:rsidRPr="00C203F0">
        <w:t xml:space="preserve"> on annettava ennen suostumuksen pyytämistä.</w:t>
      </w:r>
    </w:p>
    <w:p w14:paraId="1B0DFBC4" w14:textId="77777777" w:rsidR="00C203F0" w:rsidRDefault="00C203F0" w:rsidP="00E666D9">
      <w:pPr>
        <w:pStyle w:val="Eivli"/>
      </w:pPr>
    </w:p>
    <w:p w14:paraId="51008471" w14:textId="1746F151" w:rsidR="00C203F0" w:rsidRDefault="00C203F0" w:rsidP="00E666D9">
      <w:pPr>
        <w:pStyle w:val="Eivli"/>
      </w:pPr>
      <w:r w:rsidRPr="00C203F0">
        <w:lastRenderedPageBreak/>
        <w:t xml:space="preserve">Tietojen antamisesta ja suostumuksen pyytämisestä vastaa lähettävä lääkäri, </w:t>
      </w:r>
      <w:r w:rsidR="00D538E7">
        <w:t>jos</w:t>
      </w:r>
      <w:r w:rsidR="00D538E7" w:rsidRPr="00C203F0">
        <w:t xml:space="preserve"> </w:t>
      </w:r>
      <w:r w:rsidRPr="00C203F0">
        <w:t>kuvantaminen on osa lääkärin suorittamaa terveystarkastusta tai terveydentilan arviointia. Terveydenhuollon laitteella tehtävää kuvantamista edellyttävä oikeushenkilö tai viranomainen vastaa tietojen antamisesta ja suostumuksen pyytämisestä. Käytännön</w:t>
      </w:r>
      <w:r w:rsidRPr="00C203F0" w:rsidDel="008D50D3">
        <w:t xml:space="preserve"> </w:t>
      </w:r>
      <w:r w:rsidR="008D50D3" w:rsidRPr="00C203F0">
        <w:t>järjestely</w:t>
      </w:r>
      <w:r w:rsidR="008D50D3">
        <w:t>jä</w:t>
      </w:r>
      <w:r w:rsidR="008D50D3" w:rsidRPr="00C203F0">
        <w:t xml:space="preserve"> </w:t>
      </w:r>
      <w:r w:rsidRPr="00C203F0">
        <w:t>tietojen antamiseksi ja suostumuksen pyytämiseksi voidaan tehdä kuvantamista edellyttävän oikeushenkilön tai viranomaisen ja kuvantamisesta vastaavan toiminnanharjoittajan välillä.</w:t>
      </w:r>
    </w:p>
    <w:p w14:paraId="7D6A3267" w14:textId="77777777" w:rsidR="00C203F0" w:rsidRDefault="00C203F0" w:rsidP="00E666D9">
      <w:pPr>
        <w:pStyle w:val="Eivli"/>
      </w:pPr>
    </w:p>
    <w:p w14:paraId="18F1CC02" w14:textId="37B6F229" w:rsidR="00C203F0" w:rsidRDefault="00C203F0" w:rsidP="00E666D9">
      <w:pPr>
        <w:pStyle w:val="Eivli"/>
      </w:pPr>
      <w:r w:rsidRPr="00C203F0">
        <w:t>Lääkärin lähetteellä tehtävään kuvantamiseen hakeutuminen tie</w:t>
      </w:r>
      <w:r w:rsidR="00DA4E64">
        <w:t>tojen</w:t>
      </w:r>
      <w:r w:rsidRPr="00C203F0">
        <w:t xml:space="preserve"> saamisen jälkeen voidaan katsoa suostumukseksi.</w:t>
      </w:r>
    </w:p>
    <w:p w14:paraId="747D0738" w14:textId="77777777" w:rsidR="00C203F0" w:rsidRDefault="00C203F0" w:rsidP="00E666D9">
      <w:pPr>
        <w:pStyle w:val="Eivli"/>
      </w:pPr>
    </w:p>
    <w:p w14:paraId="49E694DE" w14:textId="007B6EF0" w:rsidR="00C203F0" w:rsidRDefault="00DA4E64" w:rsidP="00E666D9">
      <w:pPr>
        <w:pStyle w:val="Eivli"/>
      </w:pPr>
      <w:r>
        <w:t>Muulla kuin terveydenhuollon laitteella tehtävässä kuvantamisessa</w:t>
      </w:r>
      <w:r w:rsidR="00C203F0" w:rsidRPr="00C203F0">
        <w:t xml:space="preserve"> suostumukseksi voidaan katsoa henkilön osallistuminen kuvaukseen tieto</w:t>
      </w:r>
      <w:r>
        <w:t>j</w:t>
      </w:r>
      <w:r w:rsidR="00C203F0" w:rsidRPr="00C203F0">
        <w:t>a saatuaan.</w:t>
      </w:r>
    </w:p>
    <w:p w14:paraId="09AD266C" w14:textId="77777777" w:rsidR="001F1CA7" w:rsidRDefault="001F1CA7" w:rsidP="00D538E7">
      <w:pPr>
        <w:pStyle w:val="Eivli"/>
      </w:pPr>
    </w:p>
    <w:p w14:paraId="30C72AE3" w14:textId="77777777" w:rsidR="00D538E7" w:rsidRDefault="00D538E7" w:rsidP="00D538E7">
      <w:pPr>
        <w:pStyle w:val="Eivli"/>
      </w:pPr>
    </w:p>
    <w:p w14:paraId="2EBAD1BD" w14:textId="3FA3EAF5" w:rsidR="00123550" w:rsidRDefault="00123550" w:rsidP="00123550">
      <w:pPr>
        <w:pStyle w:val="Eivli"/>
        <w:jc w:val="center"/>
      </w:pPr>
      <w:r>
        <w:t>1</w:t>
      </w:r>
      <w:r w:rsidR="00584C60">
        <w:t>0</w:t>
      </w:r>
      <w:r>
        <w:t xml:space="preserve"> luku</w:t>
      </w:r>
    </w:p>
    <w:p w14:paraId="500D0737" w14:textId="77777777" w:rsidR="00123550" w:rsidRPr="002D3AAC" w:rsidRDefault="00123550" w:rsidP="00123550">
      <w:pPr>
        <w:pStyle w:val="Eivli"/>
        <w:jc w:val="center"/>
        <w:rPr>
          <w:b/>
        </w:rPr>
      </w:pPr>
      <w:r>
        <w:rPr>
          <w:b/>
        </w:rPr>
        <w:t>Säteilyvaaratilanteet</w:t>
      </w:r>
    </w:p>
    <w:p w14:paraId="1EDAB4BB" w14:textId="77777777" w:rsidR="00123550" w:rsidRPr="002D3AAC" w:rsidRDefault="00123550" w:rsidP="00123550">
      <w:pPr>
        <w:pStyle w:val="Eivli"/>
      </w:pPr>
    </w:p>
    <w:p w14:paraId="4754250D" w14:textId="2E424B75" w:rsidR="00123550" w:rsidRDefault="00C66DC3" w:rsidP="00123550">
      <w:pPr>
        <w:pStyle w:val="Eivli"/>
        <w:jc w:val="center"/>
      </w:pPr>
      <w:r>
        <w:t xml:space="preserve">48 </w:t>
      </w:r>
      <w:r w:rsidR="00123550">
        <w:t>§</w:t>
      </w:r>
    </w:p>
    <w:p w14:paraId="021E49A1" w14:textId="77777777" w:rsidR="00123550" w:rsidRPr="00955175" w:rsidRDefault="00123550" w:rsidP="00123550">
      <w:pPr>
        <w:pStyle w:val="Eivli"/>
        <w:jc w:val="center"/>
        <w:rPr>
          <w:i/>
        </w:rPr>
      </w:pPr>
      <w:r>
        <w:rPr>
          <w:i/>
        </w:rPr>
        <w:t>Vertailutason asettaminen väestölle</w:t>
      </w:r>
    </w:p>
    <w:p w14:paraId="6BBECB55" w14:textId="77777777" w:rsidR="00123550" w:rsidRDefault="00123550" w:rsidP="00123550">
      <w:pPr>
        <w:pStyle w:val="Eivli"/>
      </w:pPr>
    </w:p>
    <w:p w14:paraId="118B7710" w14:textId="2719A91C" w:rsidR="00123550" w:rsidRPr="00955175" w:rsidRDefault="00123550" w:rsidP="00123550">
      <w:pPr>
        <w:pStyle w:val="Eivli"/>
      </w:pPr>
      <w:r w:rsidRPr="00955175">
        <w:t>Säteilyvaaratilante</w:t>
      </w:r>
      <w:r>
        <w:t>e</w:t>
      </w:r>
      <w:r w:rsidRPr="00955175">
        <w:t xml:space="preserve">sta aiheutuvan altistuksen vertailutaso väestölle on </w:t>
      </w:r>
      <w:r>
        <w:t xml:space="preserve">vähintään </w:t>
      </w:r>
      <w:r w:rsidRPr="00955175">
        <w:t>20</w:t>
      </w:r>
      <w:r>
        <w:t xml:space="preserve"> ja enintään </w:t>
      </w:r>
      <w:r w:rsidRPr="00955175">
        <w:t xml:space="preserve">100 </w:t>
      </w:r>
      <w:r w:rsidR="00E62057">
        <w:t>millisievertiä</w:t>
      </w:r>
      <w:r w:rsidR="00E62057" w:rsidRPr="00955175">
        <w:t xml:space="preserve"> </w:t>
      </w:r>
      <w:r w:rsidRPr="00955175">
        <w:t xml:space="preserve">efektiivisenä </w:t>
      </w:r>
      <w:r>
        <w:t>annoksena vuodessa.</w:t>
      </w:r>
    </w:p>
    <w:p w14:paraId="2E636BF8" w14:textId="77777777" w:rsidR="00123550" w:rsidRDefault="00123550" w:rsidP="00123550">
      <w:pPr>
        <w:pStyle w:val="Eivli"/>
      </w:pPr>
    </w:p>
    <w:p w14:paraId="3731C3B0" w14:textId="1E795165" w:rsidR="00123550" w:rsidRPr="00955175" w:rsidRDefault="00123550" w:rsidP="00123550">
      <w:pPr>
        <w:pStyle w:val="Eivli"/>
      </w:pPr>
      <w:r w:rsidRPr="00955175">
        <w:t>Säteilyvaaratilante</w:t>
      </w:r>
      <w:r>
        <w:t>en</w:t>
      </w:r>
      <w:r w:rsidRPr="00955175">
        <w:t xml:space="preserve"> aikana vertailutaso</w:t>
      </w:r>
      <w:r>
        <w:t xml:space="preserve"> voidaan</w:t>
      </w:r>
      <w:r w:rsidRPr="00955175">
        <w:t xml:space="preserve"> asettaa 1 momentissa </w:t>
      </w:r>
      <w:r>
        <w:t>säädettyä</w:t>
      </w:r>
      <w:r w:rsidRPr="00955175">
        <w:t xml:space="preserve"> pienemmäksi kyseisen tilanteen ajaksi, jos se on tilanteen vakavuu</w:t>
      </w:r>
      <w:r>
        <w:t>s</w:t>
      </w:r>
      <w:r w:rsidRPr="00955175">
        <w:t xml:space="preserve"> ja laajuu</w:t>
      </w:r>
      <w:r>
        <w:t>s</w:t>
      </w:r>
      <w:r w:rsidRPr="00955175">
        <w:t xml:space="preserve"> huomioon ottaen </w:t>
      </w:r>
      <w:r>
        <w:t>perusteltua</w:t>
      </w:r>
      <w:r w:rsidRPr="00955175">
        <w:t xml:space="preserve">. Vertailutaso ei saa </w:t>
      </w:r>
      <w:r>
        <w:t>olla pienempi kuin</w:t>
      </w:r>
      <w:r w:rsidRPr="00955175">
        <w:t xml:space="preserve"> 20 </w:t>
      </w:r>
      <w:r w:rsidR="00755973">
        <w:t>millisievertiä</w:t>
      </w:r>
      <w:r>
        <w:t>, jos</w:t>
      </w:r>
      <w:r w:rsidRPr="00955175">
        <w:t xml:space="preserve"> sen saavuttaminen vaatisi kohtuuttoman laajoja tai kalliita toimia</w:t>
      </w:r>
      <w:r>
        <w:t>.</w:t>
      </w:r>
    </w:p>
    <w:p w14:paraId="0B2D126E" w14:textId="77777777" w:rsidR="00123550" w:rsidRDefault="00123550" w:rsidP="00123550">
      <w:pPr>
        <w:pStyle w:val="Eivli"/>
      </w:pPr>
    </w:p>
    <w:p w14:paraId="5B28B11E" w14:textId="77777777" w:rsidR="00123550" w:rsidRPr="00955175" w:rsidRDefault="00123550" w:rsidP="00123550">
      <w:pPr>
        <w:pStyle w:val="Eivli"/>
      </w:pPr>
      <w:r w:rsidRPr="00955175">
        <w:t>Säteilyvaaratilanteen aikana väestön vertailutasoa on pienennettävä niin pian kuin tilanteen kannalta on mahdollista</w:t>
      </w:r>
      <w:r>
        <w:t>.</w:t>
      </w:r>
    </w:p>
    <w:p w14:paraId="431FBDB7" w14:textId="77777777" w:rsidR="00123550" w:rsidRDefault="00123550" w:rsidP="00123550">
      <w:pPr>
        <w:pStyle w:val="Eivli"/>
      </w:pPr>
    </w:p>
    <w:p w14:paraId="33BDEBF3" w14:textId="77777777" w:rsidR="00123550" w:rsidRDefault="00123550" w:rsidP="00123550">
      <w:pPr>
        <w:pStyle w:val="Eivli"/>
      </w:pPr>
    </w:p>
    <w:p w14:paraId="18119449" w14:textId="40558266" w:rsidR="00123550" w:rsidRDefault="00C66DC3" w:rsidP="00123550">
      <w:pPr>
        <w:pStyle w:val="Eivli"/>
        <w:jc w:val="center"/>
      </w:pPr>
      <w:r>
        <w:t xml:space="preserve">49 </w:t>
      </w:r>
      <w:r w:rsidR="00123550">
        <w:t>§</w:t>
      </w:r>
    </w:p>
    <w:p w14:paraId="7572612D" w14:textId="77777777" w:rsidR="00123550" w:rsidRDefault="00123550" w:rsidP="00123550">
      <w:pPr>
        <w:pStyle w:val="Eivli"/>
        <w:jc w:val="center"/>
      </w:pPr>
      <w:r>
        <w:rPr>
          <w:i/>
        </w:rPr>
        <w:t>Vertailutasot säteilyvaaratyöntekijöille ja -avustajille</w:t>
      </w:r>
    </w:p>
    <w:p w14:paraId="4006DF14" w14:textId="77777777" w:rsidR="00123550" w:rsidRDefault="00123550" w:rsidP="00123550">
      <w:pPr>
        <w:pStyle w:val="Eivli"/>
      </w:pPr>
    </w:p>
    <w:p w14:paraId="62A8D31D" w14:textId="07DBC05D" w:rsidR="00123550" w:rsidRPr="00955175" w:rsidRDefault="00123550" w:rsidP="00123550">
      <w:pPr>
        <w:pStyle w:val="Eivli"/>
      </w:pPr>
      <w:r w:rsidRPr="00955175">
        <w:t>Säteilyvaaratilante</w:t>
      </w:r>
      <w:r>
        <w:t>e</w:t>
      </w:r>
      <w:r w:rsidRPr="00955175">
        <w:t xml:space="preserve">sta aiheutuvan </w:t>
      </w:r>
      <w:r w:rsidR="00755973">
        <w:t>annoksen</w:t>
      </w:r>
      <w:r w:rsidR="00755973" w:rsidRPr="00955175">
        <w:t xml:space="preserve"> </w:t>
      </w:r>
      <w:r w:rsidRPr="00955175">
        <w:t xml:space="preserve">vertailutaso säteilyvaaratyöntekijöille ja -avustajille on 100 </w:t>
      </w:r>
      <w:r w:rsidR="00755973">
        <w:t>millisievertiä</w:t>
      </w:r>
      <w:r w:rsidR="00755973" w:rsidRPr="00955175">
        <w:t xml:space="preserve"> </w:t>
      </w:r>
      <w:r w:rsidRPr="00955175">
        <w:t xml:space="preserve">efektiivisenä </w:t>
      </w:r>
      <w:r>
        <w:t>annoksena vuodessa.</w:t>
      </w:r>
    </w:p>
    <w:p w14:paraId="01B7D901" w14:textId="77777777" w:rsidR="00123550" w:rsidRDefault="00123550" w:rsidP="00123550">
      <w:pPr>
        <w:pStyle w:val="Eivli"/>
      </w:pPr>
    </w:p>
    <w:p w14:paraId="050CAA33" w14:textId="260D7697" w:rsidR="00123550" w:rsidRPr="00955175" w:rsidRDefault="00123550" w:rsidP="00123550">
      <w:pPr>
        <w:pStyle w:val="Eivli"/>
      </w:pPr>
      <w:r w:rsidRPr="00955175">
        <w:t>Tilante</w:t>
      </w:r>
      <w:r>
        <w:t>e</w:t>
      </w:r>
      <w:r w:rsidRPr="00955175">
        <w:t>ssa, jossa on kyse henkeä pelastavista toimista, vakavien säteilyn aiheuttamien terveysvaikutusten estämisestä tai onnettomuuden pahenemisen estämisestä, säteilyvaaratyöntekijöiden ja -avustajien vertailutaso</w:t>
      </w:r>
      <w:r>
        <w:t xml:space="preserve"> on</w:t>
      </w:r>
      <w:r w:rsidRPr="00955175">
        <w:t xml:space="preserve"> 500 mSv</w:t>
      </w:r>
      <w:r>
        <w:t xml:space="preserve"> efektiivisenä annoksena vuodessa.</w:t>
      </w:r>
    </w:p>
    <w:p w14:paraId="51EA07CC" w14:textId="77777777" w:rsidR="00123550" w:rsidRDefault="00123550" w:rsidP="00123550">
      <w:pPr>
        <w:pStyle w:val="Eivli"/>
      </w:pPr>
    </w:p>
    <w:p w14:paraId="1A3A0076" w14:textId="77777777" w:rsidR="00123550" w:rsidRDefault="00123550" w:rsidP="00123550">
      <w:pPr>
        <w:pStyle w:val="Eivli"/>
      </w:pPr>
    </w:p>
    <w:p w14:paraId="3E307B85" w14:textId="2B78540E" w:rsidR="00123550" w:rsidRDefault="00C66DC3" w:rsidP="00123550">
      <w:pPr>
        <w:pStyle w:val="Eivli"/>
        <w:jc w:val="center"/>
      </w:pPr>
      <w:r>
        <w:t xml:space="preserve">50 </w:t>
      </w:r>
      <w:r w:rsidR="00123550">
        <w:t>§</w:t>
      </w:r>
    </w:p>
    <w:p w14:paraId="64FF702F" w14:textId="77777777" w:rsidR="00123550" w:rsidRPr="00955175" w:rsidRDefault="00123550" w:rsidP="00123550">
      <w:pPr>
        <w:pStyle w:val="Eivli"/>
        <w:jc w:val="center"/>
        <w:rPr>
          <w:i/>
        </w:rPr>
      </w:pPr>
      <w:r>
        <w:rPr>
          <w:i/>
        </w:rPr>
        <w:t>Vertailutasojen käyttäminen varautumisessa</w:t>
      </w:r>
    </w:p>
    <w:p w14:paraId="367FB73B" w14:textId="77777777" w:rsidR="00123550" w:rsidRDefault="00123550" w:rsidP="00123550">
      <w:pPr>
        <w:pStyle w:val="Eivli"/>
      </w:pPr>
    </w:p>
    <w:p w14:paraId="5CA52B72" w14:textId="6A894A6F" w:rsidR="00123550" w:rsidRDefault="00123550" w:rsidP="00123550">
      <w:pPr>
        <w:pStyle w:val="Eivli"/>
      </w:pPr>
      <w:r w:rsidRPr="00F011EC">
        <w:t>Toiminnanharjoittaj</w:t>
      </w:r>
      <w:r>
        <w:t>a</w:t>
      </w:r>
      <w:r w:rsidRPr="00F011EC">
        <w:t xml:space="preserve">n ja viranomaisten on valmiussuunnittelussaan säteilyvaaratilanteiden varalle varauduttava sellaisten vastuullaan olevien suojelutoimien toteuttamiseen, joilla väestön </w:t>
      </w:r>
      <w:r w:rsidR="001251D3">
        <w:t>annos</w:t>
      </w:r>
      <w:r w:rsidR="001251D3" w:rsidRPr="00F011EC">
        <w:t xml:space="preserve"> </w:t>
      </w:r>
      <w:r w:rsidR="00F45121">
        <w:t xml:space="preserve">kyetään </w:t>
      </w:r>
      <w:r w:rsidRPr="00F011EC">
        <w:t xml:space="preserve">pitämään </w:t>
      </w:r>
      <w:r>
        <w:t>säteilyvaaratilannetta koskevaa vertailutasoa pienempänä.</w:t>
      </w:r>
    </w:p>
    <w:p w14:paraId="4780AC86" w14:textId="77777777" w:rsidR="00123550" w:rsidRDefault="00123550" w:rsidP="00123550">
      <w:pPr>
        <w:pStyle w:val="Eivli"/>
      </w:pPr>
    </w:p>
    <w:p w14:paraId="2E67710A" w14:textId="0DB07080" w:rsidR="00123550" w:rsidRPr="00F011EC" w:rsidRDefault="00123550" w:rsidP="00123550">
      <w:pPr>
        <w:pStyle w:val="Eivli"/>
      </w:pPr>
      <w:r w:rsidRPr="00F011EC">
        <w:t xml:space="preserve">Toiminnanharjoittajan ja viranomaisten on valmiussuunnittelussaan varauduttava vastuullaan olevien säteilyvaaratyöntekijöiden ja -avustajien säteilysuojeluun, jolla heidän </w:t>
      </w:r>
      <w:r w:rsidR="001251D3">
        <w:t>annoksensa</w:t>
      </w:r>
      <w:r w:rsidR="001251D3" w:rsidRPr="00F011EC">
        <w:t xml:space="preserve"> </w:t>
      </w:r>
      <w:r w:rsidRPr="00F011EC">
        <w:t xml:space="preserve">pysyy </w:t>
      </w:r>
      <w:r>
        <w:t>säteilyvaaratilannetta koskevaa vertailutasoa pienempänä.</w:t>
      </w:r>
    </w:p>
    <w:p w14:paraId="516856BC" w14:textId="77777777" w:rsidR="00123550" w:rsidRDefault="00123550" w:rsidP="00123550">
      <w:pPr>
        <w:pStyle w:val="Eivli"/>
      </w:pPr>
    </w:p>
    <w:p w14:paraId="2AD45CCA" w14:textId="77777777" w:rsidR="00123550" w:rsidRDefault="00123550" w:rsidP="00123550">
      <w:pPr>
        <w:pStyle w:val="Eivli"/>
      </w:pPr>
    </w:p>
    <w:p w14:paraId="2FF879D7" w14:textId="423D5E20" w:rsidR="00123550" w:rsidRDefault="00C66DC3" w:rsidP="00123550">
      <w:pPr>
        <w:pStyle w:val="Eivli"/>
        <w:jc w:val="center"/>
      </w:pPr>
      <w:r>
        <w:lastRenderedPageBreak/>
        <w:t xml:space="preserve">51 </w:t>
      </w:r>
      <w:r w:rsidR="00123550">
        <w:t>§</w:t>
      </w:r>
    </w:p>
    <w:p w14:paraId="6A66F961" w14:textId="77777777" w:rsidR="00123550" w:rsidRPr="00F011EC" w:rsidRDefault="00123550" w:rsidP="00123550">
      <w:pPr>
        <w:pStyle w:val="Eivli"/>
        <w:jc w:val="center"/>
        <w:rPr>
          <w:i/>
        </w:rPr>
      </w:pPr>
      <w:r>
        <w:rPr>
          <w:i/>
        </w:rPr>
        <w:t>Vertailutasojen käyttäminen säteilyvaaratilanteessa</w:t>
      </w:r>
    </w:p>
    <w:p w14:paraId="0B79FAFF" w14:textId="77777777" w:rsidR="00123550" w:rsidRDefault="00123550" w:rsidP="00123550">
      <w:pPr>
        <w:pStyle w:val="Eivli"/>
      </w:pPr>
    </w:p>
    <w:p w14:paraId="619ECCAB" w14:textId="0AD47D45" w:rsidR="00123550" w:rsidRDefault="00123550" w:rsidP="00123550">
      <w:pPr>
        <w:pStyle w:val="Eivli"/>
      </w:pPr>
      <w:r w:rsidRPr="00F011EC">
        <w:t xml:space="preserve">Säteilyvaaratilanteessa suojelutoimet on pyrittävä toteuttamaan siten, että </w:t>
      </w:r>
      <w:r w:rsidR="00517DEC">
        <w:t>altistuksesta aiheutuva annos</w:t>
      </w:r>
      <w:r w:rsidRPr="00F011EC">
        <w:t xml:space="preserve"> pysyy </w:t>
      </w:r>
      <w:r>
        <w:t>säteilyvaaratilannetta koskevaa vertailutasoa pienempänä</w:t>
      </w:r>
      <w:r w:rsidRPr="00F011EC">
        <w:t xml:space="preserve"> ottaen huomioon kaikki altistusreitit</w:t>
      </w:r>
      <w:r>
        <w:t>.</w:t>
      </w:r>
    </w:p>
    <w:p w14:paraId="241EB9A1" w14:textId="77777777" w:rsidR="00123550" w:rsidRDefault="00123550" w:rsidP="00123550">
      <w:pPr>
        <w:pStyle w:val="Eivli"/>
      </w:pPr>
    </w:p>
    <w:p w14:paraId="49C4127B" w14:textId="02AE0694" w:rsidR="00123550" w:rsidRPr="00F011EC" w:rsidRDefault="00123550" w:rsidP="00123550">
      <w:pPr>
        <w:pStyle w:val="Eivli"/>
      </w:pPr>
      <w:r w:rsidRPr="00F011EC">
        <w:t xml:space="preserve">Vertailutasoa suuremmat </w:t>
      </w:r>
      <w:r w:rsidR="00517DEC">
        <w:t>annokset</w:t>
      </w:r>
      <w:r w:rsidR="00517DEC" w:rsidRPr="00F011EC">
        <w:t xml:space="preserve"> </w:t>
      </w:r>
      <w:r w:rsidRPr="00F011EC">
        <w:t xml:space="preserve">ovat kuitenkin hyväksyttäviä, jos tilanne on laajuutensa tai vakavuutensa kannalta sellainen, jossa </w:t>
      </w:r>
      <w:r w:rsidR="001251D3">
        <w:t>annoksen</w:t>
      </w:r>
      <w:r w:rsidR="001251D3" w:rsidRPr="00F011EC">
        <w:t xml:space="preserve"> </w:t>
      </w:r>
      <w:r w:rsidRPr="00F011EC">
        <w:t xml:space="preserve">pysymistä </w:t>
      </w:r>
      <w:r>
        <w:t>vertailutasoa pienempänä</w:t>
      </w:r>
      <w:r w:rsidRPr="00F011EC">
        <w:t xml:space="preserve"> ei voida varmistaa suojelutoimilla</w:t>
      </w:r>
      <w:r>
        <w:t>,</w:t>
      </w:r>
      <w:r w:rsidRPr="00F011EC">
        <w:t xml:space="preserve"> tai se vaatisi sellaisia toimia, jotka aiheuttaisivat saavutettavaan hyötyyn nähden suhteettomia haittoja</w:t>
      </w:r>
      <w:r>
        <w:t>.</w:t>
      </w:r>
    </w:p>
    <w:p w14:paraId="0205CCFB" w14:textId="77777777" w:rsidR="00123550" w:rsidRDefault="00123550" w:rsidP="00123550">
      <w:pPr>
        <w:pStyle w:val="Eivli"/>
      </w:pPr>
    </w:p>
    <w:p w14:paraId="08732A2F" w14:textId="77777777" w:rsidR="00123550" w:rsidRDefault="00123550" w:rsidP="00123550">
      <w:pPr>
        <w:pStyle w:val="Eivli"/>
      </w:pPr>
    </w:p>
    <w:p w14:paraId="4525F037" w14:textId="684E2249" w:rsidR="00123550" w:rsidRDefault="00123550" w:rsidP="00123550">
      <w:pPr>
        <w:pStyle w:val="Eivli"/>
        <w:jc w:val="center"/>
      </w:pPr>
      <w:r>
        <w:t>1</w:t>
      </w:r>
      <w:r w:rsidR="00584C60">
        <w:t>1</w:t>
      </w:r>
      <w:r>
        <w:t xml:space="preserve"> luku</w:t>
      </w:r>
    </w:p>
    <w:p w14:paraId="5B7D4F16" w14:textId="77777777" w:rsidR="00123550" w:rsidRPr="002D3AAC" w:rsidRDefault="00123550" w:rsidP="00123550">
      <w:pPr>
        <w:pStyle w:val="Eivli"/>
        <w:jc w:val="center"/>
        <w:rPr>
          <w:b/>
        </w:rPr>
      </w:pPr>
      <w:r>
        <w:rPr>
          <w:b/>
        </w:rPr>
        <w:t>Vallitsevat altistustilanteet</w:t>
      </w:r>
    </w:p>
    <w:p w14:paraId="714FE86A" w14:textId="77777777" w:rsidR="00123550" w:rsidRDefault="00123550" w:rsidP="00123550">
      <w:pPr>
        <w:pStyle w:val="Eivli"/>
      </w:pPr>
    </w:p>
    <w:p w14:paraId="21941A27" w14:textId="4750BE94" w:rsidR="00123550" w:rsidRDefault="00C66DC3" w:rsidP="00123550">
      <w:pPr>
        <w:pStyle w:val="Eivli"/>
        <w:jc w:val="center"/>
      </w:pPr>
      <w:r>
        <w:t xml:space="preserve">52 </w:t>
      </w:r>
      <w:r w:rsidR="00123550">
        <w:t>§</w:t>
      </w:r>
    </w:p>
    <w:p w14:paraId="49BC165F" w14:textId="77777777" w:rsidR="00123550" w:rsidRDefault="00123550" w:rsidP="00123550">
      <w:pPr>
        <w:pStyle w:val="Eivli"/>
        <w:jc w:val="center"/>
        <w:rPr>
          <w:i/>
        </w:rPr>
      </w:pPr>
      <w:r>
        <w:rPr>
          <w:i/>
        </w:rPr>
        <w:t>Kansallinen toimintasuunnitelma vallitsevien altistustilanteiden tunnistamiseksi</w:t>
      </w:r>
    </w:p>
    <w:p w14:paraId="4FB309EF" w14:textId="77777777" w:rsidR="00123550" w:rsidRDefault="00123550" w:rsidP="00123550">
      <w:pPr>
        <w:pStyle w:val="Eivli"/>
      </w:pPr>
    </w:p>
    <w:p w14:paraId="22910458" w14:textId="77777777" w:rsidR="00123550" w:rsidRDefault="00123550" w:rsidP="00123550">
      <w:pPr>
        <w:pStyle w:val="Eivli"/>
      </w:pPr>
      <w:r w:rsidRPr="004F264C">
        <w:t>Säteilylain</w:t>
      </w:r>
      <w:r>
        <w:t xml:space="preserve"> 139</w:t>
      </w:r>
      <w:r w:rsidRPr="004F264C">
        <w:t xml:space="preserve"> §:ssä tarkoitetussa toimintasuunnitelmassa on huomioitava seuraavat tilanteet, joista voi aiheutua altistusta:</w:t>
      </w:r>
    </w:p>
    <w:p w14:paraId="30607ABD" w14:textId="77777777" w:rsidR="00123550" w:rsidRDefault="00123550" w:rsidP="00624C57">
      <w:pPr>
        <w:pStyle w:val="Eivli"/>
        <w:numPr>
          <w:ilvl w:val="0"/>
          <w:numId w:val="14"/>
        </w:numPr>
      </w:pPr>
      <w:r w:rsidRPr="004F264C">
        <w:t>päättyneet toiminnot, jotka eivät ole olleet viranomaisvalvonnassa tai joita ei ole säännelty kuten vastaavia toimintoja nykyisin;</w:t>
      </w:r>
    </w:p>
    <w:p w14:paraId="0051652D" w14:textId="2FF9777E" w:rsidR="00123550" w:rsidRDefault="00123550" w:rsidP="00624C57">
      <w:pPr>
        <w:pStyle w:val="Eivli"/>
        <w:numPr>
          <w:ilvl w:val="0"/>
          <w:numId w:val="14"/>
        </w:numPr>
      </w:pPr>
      <w:r>
        <w:t>säteilyvaaratilanteet, joista on siirrytty vallitsevaan altistustilanteeseen;</w:t>
      </w:r>
    </w:p>
    <w:p w14:paraId="4DA331E2" w14:textId="1069D739" w:rsidR="00123550" w:rsidRDefault="00123550" w:rsidP="00624C57">
      <w:pPr>
        <w:pStyle w:val="Eivli"/>
        <w:numPr>
          <w:ilvl w:val="0"/>
          <w:numId w:val="14"/>
        </w:numPr>
      </w:pPr>
      <w:r>
        <w:t>toiminnot, joista vastuussa olevaa toiminnanharjoittajaa ei voida osoittaa;</w:t>
      </w:r>
    </w:p>
    <w:p w14:paraId="08BD9056" w14:textId="77777777" w:rsidR="00123550" w:rsidRDefault="00123550" w:rsidP="00624C57">
      <w:pPr>
        <w:pStyle w:val="Eivli"/>
        <w:numPr>
          <w:ilvl w:val="0"/>
          <w:numId w:val="14"/>
        </w:numPr>
      </w:pPr>
      <w:r>
        <w:t>luonnonsäteily muissa kuin säteilylain 18 luvussa säädetyissä tilanteissa;</w:t>
      </w:r>
    </w:p>
    <w:p w14:paraId="6B56DDF3" w14:textId="7B3D00BA" w:rsidR="00123550" w:rsidRDefault="00123550" w:rsidP="00624C57">
      <w:pPr>
        <w:pStyle w:val="Eivli"/>
        <w:numPr>
          <w:ilvl w:val="0"/>
          <w:numId w:val="14"/>
        </w:numPr>
      </w:pPr>
      <w:r w:rsidRPr="004F264C">
        <w:t>radioaktiivisten aineiden pääsy</w:t>
      </w:r>
      <w:r w:rsidR="008D2CD4">
        <w:t xml:space="preserve"> </w:t>
      </w:r>
      <w:r w:rsidR="008D2CD4" w:rsidRPr="004F264C">
        <w:t>1–4 kohdassa tarkoitetuista tilanteista</w:t>
      </w:r>
      <w:r w:rsidRPr="004F264C">
        <w:t xml:space="preserve"> kuluttajan käyttöön tarkoitettuihin tuotteisiin lukuun ottamatta elintarvikkeita, rehuja, rake</w:t>
      </w:r>
      <w:r>
        <w:t>nnustuotteita ja talousvettä.</w:t>
      </w:r>
    </w:p>
    <w:p w14:paraId="7E8DA1A5" w14:textId="77777777" w:rsidR="00123550" w:rsidRDefault="00123550" w:rsidP="00123550">
      <w:pPr>
        <w:pStyle w:val="Eivli"/>
      </w:pPr>
    </w:p>
    <w:p w14:paraId="1A7F2636" w14:textId="77777777" w:rsidR="00123550" w:rsidRPr="004F264C" w:rsidRDefault="00123550" w:rsidP="00123550">
      <w:pPr>
        <w:pStyle w:val="Eivli"/>
      </w:pPr>
      <w:r w:rsidRPr="004F264C">
        <w:t>Kansallisessa toimintasuunnitelmassa on esitettävä menettelyt ja vastuutahot 1 momentissa tarkoitettujen tilanteiden tunnistamiseksi.</w:t>
      </w:r>
    </w:p>
    <w:p w14:paraId="1AE9B56B" w14:textId="77777777" w:rsidR="00123550" w:rsidRDefault="00123550" w:rsidP="00123550">
      <w:pPr>
        <w:pStyle w:val="Eivli"/>
      </w:pPr>
    </w:p>
    <w:p w14:paraId="12E18E82" w14:textId="77777777" w:rsidR="00123550" w:rsidRDefault="00123550" w:rsidP="00123550">
      <w:pPr>
        <w:pStyle w:val="Eivli"/>
      </w:pPr>
    </w:p>
    <w:p w14:paraId="7224D363" w14:textId="7FABFC25" w:rsidR="00123550" w:rsidRDefault="00C66DC3" w:rsidP="00123550">
      <w:pPr>
        <w:pStyle w:val="Eivli"/>
        <w:jc w:val="center"/>
      </w:pPr>
      <w:r>
        <w:t xml:space="preserve">53 </w:t>
      </w:r>
      <w:r w:rsidR="00123550">
        <w:t>§</w:t>
      </w:r>
    </w:p>
    <w:p w14:paraId="09CE65B8" w14:textId="77777777" w:rsidR="00123550" w:rsidRDefault="00123550" w:rsidP="00123550">
      <w:pPr>
        <w:pStyle w:val="Eivli"/>
        <w:jc w:val="center"/>
        <w:rPr>
          <w:i/>
        </w:rPr>
      </w:pPr>
      <w:r>
        <w:rPr>
          <w:i/>
        </w:rPr>
        <w:t>Suunnitelma toimenpiteistä vallitsevassa altistustilanteessa</w:t>
      </w:r>
    </w:p>
    <w:p w14:paraId="4E20F4C5" w14:textId="77777777" w:rsidR="00123550" w:rsidRDefault="00123550" w:rsidP="00123550">
      <w:pPr>
        <w:pStyle w:val="Eivli"/>
      </w:pPr>
    </w:p>
    <w:p w14:paraId="615B1ADB" w14:textId="5BD3A599" w:rsidR="00123550" w:rsidRPr="00270746" w:rsidRDefault="00123550" w:rsidP="00123550">
      <w:pPr>
        <w:pStyle w:val="Eivli"/>
      </w:pPr>
      <w:r w:rsidRPr="00D04590">
        <w:t xml:space="preserve">Säteilylain </w:t>
      </w:r>
      <w:r w:rsidRPr="00270746">
        <w:t>136 §:n 3 momentissa tarkoitetussa suunnitelmassa on esitettävä:</w:t>
      </w:r>
    </w:p>
    <w:p w14:paraId="7F2235F8" w14:textId="77777777" w:rsidR="00123550" w:rsidRPr="00270746" w:rsidRDefault="00123550" w:rsidP="00624C57">
      <w:pPr>
        <w:pStyle w:val="Eivli"/>
        <w:numPr>
          <w:ilvl w:val="0"/>
          <w:numId w:val="15"/>
        </w:numPr>
      </w:pPr>
      <w:r w:rsidRPr="00270746">
        <w:t>suunnitelman tavoitteet;</w:t>
      </w:r>
    </w:p>
    <w:p w14:paraId="5E7D794E" w14:textId="77777777" w:rsidR="00123550" w:rsidRPr="00270746" w:rsidRDefault="00123550" w:rsidP="00624C57">
      <w:pPr>
        <w:pStyle w:val="Eivli"/>
        <w:numPr>
          <w:ilvl w:val="0"/>
          <w:numId w:val="15"/>
        </w:numPr>
      </w:pPr>
      <w:r w:rsidRPr="00270746">
        <w:t>sovellettavat säteilylain 137 §:ssä tarkoitetut viitearvot;</w:t>
      </w:r>
    </w:p>
    <w:p w14:paraId="0EA39C1A" w14:textId="77777777" w:rsidR="00123550" w:rsidRPr="00270746" w:rsidRDefault="00123550" w:rsidP="00624C57">
      <w:pPr>
        <w:pStyle w:val="Eivli"/>
        <w:numPr>
          <w:ilvl w:val="0"/>
          <w:numId w:val="15"/>
        </w:numPr>
      </w:pPr>
      <w:r w:rsidRPr="00270746">
        <w:t>valitut suojelutoimet joiden toteutustapa, laajuus ja kesto on optimoitu;</w:t>
      </w:r>
    </w:p>
    <w:p w14:paraId="35A8411A" w14:textId="3690AE04" w:rsidR="00123550" w:rsidRPr="00270746" w:rsidRDefault="00123550" w:rsidP="00624C57">
      <w:pPr>
        <w:pStyle w:val="Eivli"/>
        <w:numPr>
          <w:ilvl w:val="0"/>
          <w:numId w:val="15"/>
        </w:numPr>
      </w:pPr>
      <w:r w:rsidRPr="00270746">
        <w:t xml:space="preserve">toimet altistuksen hallintaa koskevien neuvojen antamiseksi yksilölle </w:t>
      </w:r>
      <w:r w:rsidR="00AA5BD6">
        <w:t>ja</w:t>
      </w:r>
      <w:r w:rsidR="00AA5BD6" w:rsidRPr="00270746">
        <w:t xml:space="preserve"> </w:t>
      </w:r>
      <w:r w:rsidRPr="00270746">
        <w:t>alueellisesti;</w:t>
      </w:r>
    </w:p>
    <w:p w14:paraId="12D64A01" w14:textId="77777777" w:rsidR="00123550" w:rsidRPr="00270746" w:rsidRDefault="00123550" w:rsidP="00624C57">
      <w:pPr>
        <w:pStyle w:val="Eivli"/>
        <w:numPr>
          <w:ilvl w:val="0"/>
          <w:numId w:val="15"/>
        </w:numPr>
      </w:pPr>
      <w:r w:rsidRPr="00270746">
        <w:t>toimet ohjeiden ja tietojen antamiseksi altistuneille mahdollisista terveyshaitoista ja käytettävissä olevista keinoista heidän oman altistuksensa pienentämiseksi;</w:t>
      </w:r>
    </w:p>
    <w:p w14:paraId="41E1CDBF" w14:textId="77777777" w:rsidR="00123550" w:rsidRPr="00270746" w:rsidRDefault="00123550" w:rsidP="00624C57">
      <w:pPr>
        <w:pStyle w:val="Eivli"/>
        <w:numPr>
          <w:ilvl w:val="0"/>
          <w:numId w:val="15"/>
        </w:numPr>
      </w:pPr>
      <w:r w:rsidRPr="00270746">
        <w:t>toimenpiteiden vastuutahot sekä menettelyt keskinäiselle koordinoinnille.</w:t>
      </w:r>
    </w:p>
    <w:p w14:paraId="0E9EF9DF" w14:textId="77777777" w:rsidR="00123550" w:rsidRPr="00270746" w:rsidRDefault="00123550" w:rsidP="00123550">
      <w:pPr>
        <w:pStyle w:val="Eivli"/>
      </w:pPr>
    </w:p>
    <w:p w14:paraId="03E49F8E" w14:textId="159EC5A5" w:rsidR="00123550" w:rsidRDefault="00AA5BD6" w:rsidP="00123550">
      <w:pPr>
        <w:pStyle w:val="Eivli"/>
      </w:pPr>
      <w:r>
        <w:t>Jos</w:t>
      </w:r>
      <w:r w:rsidR="00123550" w:rsidRPr="00270746">
        <w:t xml:space="preserve"> altistustilanteeseen liittyy luonnon radioaktiivisia aineita, joita ei valvota osana turvallisuuslupaa edellyttävää toimintaa, suunnitelmassa on myös esitettävä toimet ohjeiden ja tietojen antamiseksi tarkoituksenmukaisista aktiivisuuspitoisuuksien</w:t>
      </w:r>
      <w:r w:rsidR="00123550" w:rsidRPr="00D04590">
        <w:t xml:space="preserve"> ja altistuksen seurantamenetelmistä ja suojelutoimista.</w:t>
      </w:r>
    </w:p>
    <w:p w14:paraId="74C9BF42" w14:textId="77777777" w:rsidR="00123550" w:rsidRDefault="00123550" w:rsidP="00123550">
      <w:pPr>
        <w:pStyle w:val="Eivli"/>
      </w:pPr>
    </w:p>
    <w:p w14:paraId="7ABB3B69" w14:textId="77777777" w:rsidR="00123550" w:rsidRDefault="00123550" w:rsidP="00123550">
      <w:pPr>
        <w:pStyle w:val="Eivli"/>
      </w:pPr>
    </w:p>
    <w:p w14:paraId="7BE335AF" w14:textId="03F5031E" w:rsidR="00123550" w:rsidRDefault="00C66DC3" w:rsidP="00123550">
      <w:pPr>
        <w:pStyle w:val="Eivli"/>
        <w:jc w:val="center"/>
      </w:pPr>
      <w:r>
        <w:t xml:space="preserve">54 </w:t>
      </w:r>
      <w:r w:rsidR="00123550">
        <w:t>§</w:t>
      </w:r>
    </w:p>
    <w:p w14:paraId="568F753B" w14:textId="77777777" w:rsidR="00123550" w:rsidRDefault="00123550" w:rsidP="00123550">
      <w:pPr>
        <w:pStyle w:val="Eivli"/>
        <w:jc w:val="center"/>
        <w:rPr>
          <w:i/>
        </w:rPr>
      </w:pPr>
      <w:r>
        <w:rPr>
          <w:i/>
        </w:rPr>
        <w:t>Suunnitelman toimeenpano ja tarkistaminen</w:t>
      </w:r>
    </w:p>
    <w:p w14:paraId="58913F9C" w14:textId="77777777" w:rsidR="00123550" w:rsidRPr="00D04590" w:rsidRDefault="00123550" w:rsidP="00123550">
      <w:pPr>
        <w:pStyle w:val="Eivli"/>
      </w:pPr>
    </w:p>
    <w:p w14:paraId="57422215" w14:textId="77777777" w:rsidR="00123550" w:rsidRDefault="00123550" w:rsidP="00123550">
      <w:pPr>
        <w:pStyle w:val="Eivli"/>
      </w:pPr>
      <w:r w:rsidRPr="009401F3">
        <w:t>Toimeenpanosta vastuullisten tahojen on vastuualueidensa osalta:</w:t>
      </w:r>
    </w:p>
    <w:p w14:paraId="1F225460" w14:textId="77777777" w:rsidR="00123550" w:rsidRDefault="00123550" w:rsidP="00624C57">
      <w:pPr>
        <w:pStyle w:val="Eivli"/>
        <w:numPr>
          <w:ilvl w:val="0"/>
          <w:numId w:val="16"/>
        </w:numPr>
      </w:pPr>
      <w:r w:rsidRPr="009401F3">
        <w:t>säännöllisesti arvioitava käytettävissä olevia suojelutoimia tavoitteiden saavuttamiseksi ja arvioitava suunniteltujen ja toteutettujen toimien tehokkuutta;</w:t>
      </w:r>
    </w:p>
    <w:p w14:paraId="030BAB10" w14:textId="77777777" w:rsidR="00123550" w:rsidRDefault="00123550" w:rsidP="00624C57">
      <w:pPr>
        <w:pStyle w:val="Eivli"/>
        <w:numPr>
          <w:ilvl w:val="0"/>
          <w:numId w:val="16"/>
        </w:numPr>
      </w:pPr>
      <w:r w:rsidRPr="009401F3">
        <w:lastRenderedPageBreak/>
        <w:t>arvioitava suunnitelman toteuttamisesta seurannut annosten jakauma yhteistyössä Säteilyturvakeskuksen kanssa;</w:t>
      </w:r>
    </w:p>
    <w:p w14:paraId="71AE4386" w14:textId="77777777" w:rsidR="00123550" w:rsidRDefault="00123550" w:rsidP="00624C57">
      <w:pPr>
        <w:pStyle w:val="Eivli"/>
        <w:numPr>
          <w:ilvl w:val="0"/>
          <w:numId w:val="16"/>
        </w:numPr>
      </w:pPr>
      <w:r w:rsidRPr="009401F3">
        <w:t>harkittava mahdollisia lisätoimia suojelun optimoimiseksi ja mahdollisten viitearvot ylittävien altistusten vähentämiseksi.</w:t>
      </w:r>
    </w:p>
    <w:p w14:paraId="45616D28" w14:textId="77777777" w:rsidR="00123550" w:rsidRDefault="00123550" w:rsidP="00123550">
      <w:pPr>
        <w:pStyle w:val="Eivli"/>
      </w:pPr>
    </w:p>
    <w:p w14:paraId="45A58381" w14:textId="77777777" w:rsidR="00123550" w:rsidRDefault="00123550" w:rsidP="00123550">
      <w:pPr>
        <w:pStyle w:val="Eivli"/>
      </w:pPr>
      <w:r w:rsidRPr="009401F3">
        <w:t>Sosiaali- ja terveysalan lupa- ja valvontavirasto seuraa 1 momentissa tarkoitettua toimeenpanoa ja tarvittaessa tarkistaa suunnitelmaa.</w:t>
      </w:r>
    </w:p>
    <w:p w14:paraId="79B2BBE2" w14:textId="77777777" w:rsidR="00A3301C" w:rsidRDefault="00A3301C" w:rsidP="00955175">
      <w:pPr>
        <w:pStyle w:val="Eivli"/>
      </w:pPr>
    </w:p>
    <w:p w14:paraId="273C0F35" w14:textId="77777777" w:rsidR="001F1CA7" w:rsidRDefault="001F1CA7" w:rsidP="00955175">
      <w:pPr>
        <w:pStyle w:val="Eivli"/>
      </w:pPr>
    </w:p>
    <w:p w14:paraId="458F7C9D" w14:textId="3F7E7C98" w:rsidR="00E4306F" w:rsidRDefault="00A3301C" w:rsidP="00E4306F">
      <w:pPr>
        <w:pStyle w:val="Eivli"/>
        <w:jc w:val="center"/>
      </w:pPr>
      <w:r>
        <w:t>1</w:t>
      </w:r>
      <w:r w:rsidR="00A60AA1">
        <w:t>2</w:t>
      </w:r>
      <w:r>
        <w:t xml:space="preserve"> </w:t>
      </w:r>
      <w:r w:rsidR="00E4306F">
        <w:t>luku</w:t>
      </w:r>
    </w:p>
    <w:p w14:paraId="2CAC7E42" w14:textId="6F4F193A" w:rsidR="00E4306F" w:rsidRPr="002D3AAC" w:rsidRDefault="00E4306F" w:rsidP="00E4306F">
      <w:pPr>
        <w:pStyle w:val="Eivli"/>
        <w:jc w:val="center"/>
        <w:rPr>
          <w:b/>
        </w:rPr>
      </w:pPr>
      <w:r>
        <w:rPr>
          <w:b/>
        </w:rPr>
        <w:t>Luonnonsäteily</w:t>
      </w:r>
    </w:p>
    <w:p w14:paraId="00C65A59" w14:textId="77777777" w:rsidR="00F011EC" w:rsidRDefault="00F011EC" w:rsidP="00955175">
      <w:pPr>
        <w:pStyle w:val="Eivli"/>
      </w:pPr>
    </w:p>
    <w:p w14:paraId="484B70F1" w14:textId="2235CC81" w:rsidR="00E4306F" w:rsidRPr="00E4306F" w:rsidRDefault="00C66DC3" w:rsidP="004466AD">
      <w:pPr>
        <w:pStyle w:val="Eivli"/>
        <w:jc w:val="center"/>
        <w:rPr>
          <w:bCs/>
        </w:rPr>
      </w:pPr>
      <w:r>
        <w:rPr>
          <w:bCs/>
        </w:rPr>
        <w:t xml:space="preserve">55 </w:t>
      </w:r>
      <w:r w:rsidR="004466AD">
        <w:rPr>
          <w:bCs/>
        </w:rPr>
        <w:t>§</w:t>
      </w:r>
    </w:p>
    <w:p w14:paraId="1138BA5A" w14:textId="77777777" w:rsidR="00E4306F" w:rsidRPr="00E4306F" w:rsidRDefault="00E4306F" w:rsidP="00E4306F">
      <w:pPr>
        <w:pStyle w:val="Eivli"/>
        <w:jc w:val="center"/>
        <w:rPr>
          <w:bCs/>
          <w:i/>
        </w:rPr>
      </w:pPr>
      <w:r w:rsidRPr="00E4306F">
        <w:rPr>
          <w:bCs/>
          <w:i/>
        </w:rPr>
        <w:t>Säteilyaltistuksen selvittämistä edellyttävät maa-, kivi- tai muihin aineksiin liittyvät toiminnat</w:t>
      </w:r>
    </w:p>
    <w:p w14:paraId="4851B848" w14:textId="77777777" w:rsidR="00E4306F" w:rsidRPr="00E4306F" w:rsidRDefault="00E4306F" w:rsidP="00E4306F">
      <w:pPr>
        <w:pStyle w:val="Eivli"/>
      </w:pPr>
    </w:p>
    <w:p w14:paraId="021774BB" w14:textId="205E064A" w:rsidR="00E4306F" w:rsidRPr="00E4306F" w:rsidRDefault="00E4306F" w:rsidP="00E4306F">
      <w:pPr>
        <w:pStyle w:val="Eivli"/>
      </w:pPr>
      <w:r w:rsidRPr="00E4306F">
        <w:t xml:space="preserve">Säteilylain </w:t>
      </w:r>
      <w:r w:rsidRPr="000623AE">
        <w:t>1</w:t>
      </w:r>
      <w:r w:rsidR="000623AE" w:rsidRPr="000623AE">
        <w:t>48</w:t>
      </w:r>
      <w:r w:rsidRPr="000623AE">
        <w:t xml:space="preserve"> §:ssä</w:t>
      </w:r>
      <w:r w:rsidRPr="00E4306F">
        <w:t xml:space="preserve"> tarkoitettuja toimintoja, joissa luonnonsäteilylle altistumista koskeva viitearvo voi ylittyä</w:t>
      </w:r>
      <w:r w:rsidR="008F0B2E">
        <w:t>,</w:t>
      </w:r>
      <w:r w:rsidRPr="00E4306F">
        <w:t xml:space="preserve"> ovat</w:t>
      </w:r>
      <w:r w:rsidR="00AA5BD6">
        <w:t xml:space="preserve"> ainakin</w:t>
      </w:r>
      <w:r w:rsidRPr="00E4306F">
        <w:t>:</w:t>
      </w:r>
    </w:p>
    <w:p w14:paraId="58E5E3DA" w14:textId="60E8A342" w:rsidR="00E4306F" w:rsidRPr="00E4306F" w:rsidRDefault="00E4306F" w:rsidP="00624C57">
      <w:pPr>
        <w:pStyle w:val="Eivli"/>
        <w:numPr>
          <w:ilvl w:val="0"/>
          <w:numId w:val="32"/>
        </w:numPr>
      </w:pPr>
      <w:r w:rsidRPr="00E4306F">
        <w:t>harvinaisten maametallien tuotanto;</w:t>
      </w:r>
    </w:p>
    <w:p w14:paraId="06630BB3" w14:textId="77777777" w:rsidR="00E4306F" w:rsidRPr="00E4306F" w:rsidRDefault="00E4306F" w:rsidP="00624C57">
      <w:pPr>
        <w:pStyle w:val="Eivli"/>
        <w:numPr>
          <w:ilvl w:val="0"/>
          <w:numId w:val="32"/>
        </w:numPr>
      </w:pPr>
      <w:r w:rsidRPr="00E4306F">
        <w:t>toriumyhdisteiden tuotanto ja toriumia sisältävien tuotteiden valmistus;</w:t>
      </w:r>
    </w:p>
    <w:p w14:paraId="20C492EB" w14:textId="3029894F" w:rsidR="00E4306F" w:rsidRPr="00E4306F" w:rsidRDefault="00E4306F" w:rsidP="00624C57">
      <w:pPr>
        <w:pStyle w:val="Eivli"/>
        <w:numPr>
          <w:ilvl w:val="0"/>
          <w:numId w:val="32"/>
        </w:numPr>
      </w:pPr>
      <w:r w:rsidRPr="00E4306F">
        <w:t>niobi-tantaalimalmin prosessointi;</w:t>
      </w:r>
    </w:p>
    <w:p w14:paraId="30450063" w14:textId="77777777" w:rsidR="00E4306F" w:rsidRPr="00E4306F" w:rsidRDefault="00E4306F" w:rsidP="00624C57">
      <w:pPr>
        <w:pStyle w:val="Eivli"/>
        <w:numPr>
          <w:ilvl w:val="0"/>
          <w:numId w:val="32"/>
        </w:numPr>
      </w:pPr>
      <w:r w:rsidRPr="00E4306F">
        <w:t>öljyn ja kaasun tuotanto ja jalostus;</w:t>
      </w:r>
    </w:p>
    <w:p w14:paraId="622CA696" w14:textId="52A47CB9" w:rsidR="00E4306F" w:rsidRPr="00E4306F" w:rsidRDefault="00E4306F" w:rsidP="00624C57">
      <w:pPr>
        <w:pStyle w:val="Eivli"/>
        <w:numPr>
          <w:ilvl w:val="0"/>
          <w:numId w:val="32"/>
        </w:numPr>
      </w:pPr>
      <w:r w:rsidRPr="00E4306F">
        <w:t>geotermisen energian tuotanto;</w:t>
      </w:r>
    </w:p>
    <w:p w14:paraId="65FFB36A" w14:textId="034BAF8B" w:rsidR="00E4306F" w:rsidRPr="00E4306F" w:rsidRDefault="000623AE" w:rsidP="00624C57">
      <w:pPr>
        <w:pStyle w:val="Eivli"/>
        <w:numPr>
          <w:ilvl w:val="0"/>
          <w:numId w:val="32"/>
        </w:numPr>
      </w:pPr>
      <w:r>
        <w:t>titaanidioksidi</w:t>
      </w:r>
      <w:r w:rsidR="00E4306F" w:rsidRPr="00E4306F">
        <w:t>pigmentin tuotanto;</w:t>
      </w:r>
    </w:p>
    <w:p w14:paraId="1D92CB11" w14:textId="256EB9E1" w:rsidR="00E4306F" w:rsidRPr="00E4306F" w:rsidRDefault="00E4306F" w:rsidP="00624C57">
      <w:pPr>
        <w:pStyle w:val="Eivli"/>
        <w:numPr>
          <w:ilvl w:val="0"/>
          <w:numId w:val="32"/>
        </w:numPr>
      </w:pPr>
      <w:r w:rsidRPr="00E4306F">
        <w:t>terminen fosforin tuotanto;</w:t>
      </w:r>
    </w:p>
    <w:p w14:paraId="238511AF" w14:textId="77777777" w:rsidR="00E4306F" w:rsidRPr="00E4306F" w:rsidRDefault="00E4306F" w:rsidP="00624C57">
      <w:pPr>
        <w:pStyle w:val="Eivli"/>
        <w:numPr>
          <w:ilvl w:val="0"/>
          <w:numId w:val="32"/>
        </w:numPr>
      </w:pPr>
      <w:r w:rsidRPr="00E4306F">
        <w:t xml:space="preserve">zirkoni- ja zirkoniumteollisuus; </w:t>
      </w:r>
    </w:p>
    <w:p w14:paraId="43043D7E" w14:textId="77777777" w:rsidR="00E4306F" w:rsidRPr="00E4306F" w:rsidRDefault="00E4306F" w:rsidP="00624C57">
      <w:pPr>
        <w:pStyle w:val="Eivli"/>
        <w:numPr>
          <w:ilvl w:val="0"/>
          <w:numId w:val="32"/>
        </w:numPr>
      </w:pPr>
      <w:r w:rsidRPr="00E4306F">
        <w:t xml:space="preserve">fosfaattilannoitteiden tuotanto; </w:t>
      </w:r>
    </w:p>
    <w:p w14:paraId="14B7D93A" w14:textId="4D75B7A4" w:rsidR="00E4306F" w:rsidRPr="00E4306F" w:rsidRDefault="00E4306F" w:rsidP="00624C57">
      <w:pPr>
        <w:pStyle w:val="Eivli"/>
        <w:numPr>
          <w:ilvl w:val="0"/>
          <w:numId w:val="32"/>
        </w:numPr>
      </w:pPr>
      <w:r w:rsidRPr="00E4306F">
        <w:t>sementin tuotanto ja siinä käytettyjen klinkkeriuunien huolto;</w:t>
      </w:r>
    </w:p>
    <w:p w14:paraId="6C15405D" w14:textId="77777777" w:rsidR="00E4306F" w:rsidRPr="00E4306F" w:rsidRDefault="00E4306F" w:rsidP="00624C57">
      <w:pPr>
        <w:pStyle w:val="Eivli"/>
        <w:numPr>
          <w:ilvl w:val="0"/>
          <w:numId w:val="32"/>
        </w:numPr>
      </w:pPr>
      <w:r w:rsidRPr="00E4306F">
        <w:t xml:space="preserve">turve- ja hiilivoimalaitokset ja niiden kattiloiden huolto; </w:t>
      </w:r>
    </w:p>
    <w:p w14:paraId="065315C4" w14:textId="77777777" w:rsidR="00E4306F" w:rsidRPr="00E4306F" w:rsidRDefault="00E4306F" w:rsidP="00624C57">
      <w:pPr>
        <w:pStyle w:val="Eivli"/>
        <w:numPr>
          <w:ilvl w:val="0"/>
          <w:numId w:val="32"/>
        </w:numPr>
      </w:pPr>
      <w:r w:rsidRPr="00E4306F">
        <w:t xml:space="preserve">fosforihapon tuotanto; </w:t>
      </w:r>
    </w:p>
    <w:p w14:paraId="3C76BBEC" w14:textId="77777777" w:rsidR="00E4306F" w:rsidRPr="00E4306F" w:rsidRDefault="00E4306F" w:rsidP="00624C57">
      <w:pPr>
        <w:pStyle w:val="Eivli"/>
        <w:numPr>
          <w:ilvl w:val="0"/>
          <w:numId w:val="32"/>
        </w:numPr>
      </w:pPr>
      <w:r w:rsidRPr="00E4306F">
        <w:t>metallimalmien ja –rikasteiden pelkistyssulatus;</w:t>
      </w:r>
    </w:p>
    <w:p w14:paraId="32141DA8" w14:textId="3A2E91EF" w:rsidR="00E4306F" w:rsidRPr="00E4306F" w:rsidRDefault="00E4306F" w:rsidP="00624C57">
      <w:pPr>
        <w:pStyle w:val="Eivli"/>
        <w:numPr>
          <w:ilvl w:val="0"/>
          <w:numId w:val="32"/>
        </w:numPr>
      </w:pPr>
      <w:r w:rsidRPr="00E4306F">
        <w:t>talousveden tuottaminen pohjaveden käsittelylaitoksessa</w:t>
      </w:r>
      <w:r w:rsidR="00F249D9">
        <w:t>;</w:t>
      </w:r>
    </w:p>
    <w:p w14:paraId="48C29677" w14:textId="688A6417" w:rsidR="00E4306F" w:rsidRPr="00E4306F" w:rsidRDefault="00E4306F" w:rsidP="00624C57">
      <w:pPr>
        <w:pStyle w:val="Eivli"/>
        <w:numPr>
          <w:ilvl w:val="0"/>
          <w:numId w:val="32"/>
        </w:numPr>
      </w:pPr>
      <w:r w:rsidRPr="00E4306F">
        <w:t>muiden malmien kuin uraanimalmin louhinta</w:t>
      </w:r>
      <w:r w:rsidR="0061744C">
        <w:t>.</w:t>
      </w:r>
    </w:p>
    <w:p w14:paraId="6C13244D" w14:textId="77777777" w:rsidR="00E4306F" w:rsidRPr="00E4306F" w:rsidRDefault="00E4306F" w:rsidP="00E4306F">
      <w:pPr>
        <w:pStyle w:val="Eivli"/>
      </w:pPr>
    </w:p>
    <w:p w14:paraId="35648C58" w14:textId="77777777" w:rsidR="00E4306F" w:rsidRPr="00E4306F" w:rsidRDefault="00E4306F" w:rsidP="00E4306F">
      <w:pPr>
        <w:pStyle w:val="Eivli"/>
      </w:pPr>
    </w:p>
    <w:p w14:paraId="6D68D4DF" w14:textId="22209384" w:rsidR="00E4306F" w:rsidRPr="0061744C" w:rsidRDefault="00C66DC3" w:rsidP="0061744C">
      <w:pPr>
        <w:pStyle w:val="Eivli"/>
        <w:jc w:val="center"/>
        <w:rPr>
          <w:bCs/>
        </w:rPr>
      </w:pPr>
      <w:r>
        <w:rPr>
          <w:bCs/>
        </w:rPr>
        <w:t xml:space="preserve">56 </w:t>
      </w:r>
      <w:r w:rsidR="00E4306F" w:rsidRPr="0061744C">
        <w:rPr>
          <w:bCs/>
        </w:rPr>
        <w:t>§</w:t>
      </w:r>
    </w:p>
    <w:p w14:paraId="69BB6519" w14:textId="77777777" w:rsidR="00E4306F" w:rsidRPr="00E4306F" w:rsidRDefault="00E4306F" w:rsidP="0061744C">
      <w:pPr>
        <w:pStyle w:val="Eivli"/>
        <w:jc w:val="center"/>
        <w:rPr>
          <w:bCs/>
          <w:i/>
        </w:rPr>
      </w:pPr>
      <w:r w:rsidRPr="00E4306F">
        <w:rPr>
          <w:bCs/>
          <w:i/>
        </w:rPr>
        <w:t>Säteilyaltistuksen selvittämistä edellyttävät rakennustuotteet</w:t>
      </w:r>
    </w:p>
    <w:p w14:paraId="5522541C" w14:textId="77777777" w:rsidR="00E4306F" w:rsidRPr="00E4306F" w:rsidRDefault="00E4306F" w:rsidP="00E4306F">
      <w:pPr>
        <w:pStyle w:val="Eivli"/>
        <w:rPr>
          <w:b/>
          <w:bCs/>
        </w:rPr>
      </w:pPr>
    </w:p>
    <w:p w14:paraId="2101A2D2" w14:textId="4BBE6562" w:rsidR="00E4306F" w:rsidRPr="00E4306F" w:rsidRDefault="00E4306F" w:rsidP="00E4306F">
      <w:pPr>
        <w:pStyle w:val="Eivli"/>
      </w:pPr>
      <w:r w:rsidRPr="00E4306F">
        <w:t xml:space="preserve">Säteilylain </w:t>
      </w:r>
      <w:r w:rsidR="00F71915" w:rsidRPr="003B3935">
        <w:t xml:space="preserve">150 </w:t>
      </w:r>
      <w:r w:rsidRPr="003B3935">
        <w:t>§:ssä</w:t>
      </w:r>
      <w:r w:rsidRPr="00E4306F">
        <w:t xml:space="preserve"> tarkoitettuja rakennustuotteita ovat</w:t>
      </w:r>
      <w:r w:rsidR="008F0B2E">
        <w:t xml:space="preserve"> ainakin</w:t>
      </w:r>
      <w:r w:rsidRPr="00E4306F">
        <w:t>:</w:t>
      </w:r>
    </w:p>
    <w:p w14:paraId="56D0144D" w14:textId="77777777" w:rsidR="00E4306F" w:rsidRPr="00E4306F" w:rsidRDefault="00E4306F" w:rsidP="00624C57">
      <w:pPr>
        <w:pStyle w:val="Eivli"/>
        <w:numPr>
          <w:ilvl w:val="0"/>
          <w:numId w:val="33"/>
        </w:numPr>
      </w:pPr>
      <w:r w:rsidRPr="00E4306F">
        <w:t>betonirunkoisen rakennuksen betonirakenteet;</w:t>
      </w:r>
    </w:p>
    <w:p w14:paraId="07A7A8CA" w14:textId="77777777" w:rsidR="00E4306F" w:rsidRPr="00E4306F" w:rsidRDefault="00E4306F" w:rsidP="00624C57">
      <w:pPr>
        <w:pStyle w:val="Eivli"/>
        <w:numPr>
          <w:ilvl w:val="0"/>
          <w:numId w:val="33"/>
        </w:numPr>
      </w:pPr>
      <w:r w:rsidRPr="00E4306F">
        <w:t>rakennustuotteet, joiden pääasiallisena raaka-aineena on käytetty graniittia sisältävää kiviainesta;</w:t>
      </w:r>
    </w:p>
    <w:p w14:paraId="4603068E" w14:textId="77777777" w:rsidR="00E4306F" w:rsidRPr="00E4306F" w:rsidRDefault="00E4306F" w:rsidP="00624C57">
      <w:pPr>
        <w:pStyle w:val="Eivli"/>
        <w:numPr>
          <w:ilvl w:val="0"/>
          <w:numId w:val="33"/>
        </w:numPr>
      </w:pPr>
      <w:r w:rsidRPr="00E4306F">
        <w:t>rakennustuotteet, joiden raaka-aineena on käytetty tuhkaa tai mineraalipohjaisia luonnon raaka-aineita hyödyntäviltä teollisuudenaloilta syntyneitä väli- tai sivutuotteita tai jätteitä.</w:t>
      </w:r>
    </w:p>
    <w:p w14:paraId="7D1F3FC3" w14:textId="77777777" w:rsidR="00E4306F" w:rsidRPr="00E4306F" w:rsidRDefault="00E4306F" w:rsidP="00E4306F">
      <w:pPr>
        <w:pStyle w:val="Eivli"/>
      </w:pPr>
    </w:p>
    <w:p w14:paraId="32DE154D" w14:textId="77777777" w:rsidR="00E4306F" w:rsidRPr="00E4306F" w:rsidRDefault="00E4306F" w:rsidP="00E4306F">
      <w:pPr>
        <w:pStyle w:val="Eivli"/>
      </w:pPr>
    </w:p>
    <w:p w14:paraId="0CE3EF63" w14:textId="298669A6" w:rsidR="00E4306F" w:rsidRDefault="00C66DC3" w:rsidP="0061744C">
      <w:pPr>
        <w:pStyle w:val="Eivli"/>
        <w:jc w:val="center"/>
        <w:rPr>
          <w:bCs/>
        </w:rPr>
      </w:pPr>
      <w:r>
        <w:rPr>
          <w:bCs/>
        </w:rPr>
        <w:t xml:space="preserve">57 </w:t>
      </w:r>
      <w:r w:rsidR="0061744C">
        <w:rPr>
          <w:bCs/>
        </w:rPr>
        <w:t>§</w:t>
      </w:r>
    </w:p>
    <w:p w14:paraId="1F635639" w14:textId="77777777" w:rsidR="00E4306F" w:rsidRDefault="00E4306F" w:rsidP="0061744C">
      <w:pPr>
        <w:pStyle w:val="Eivli"/>
        <w:jc w:val="center"/>
        <w:rPr>
          <w:bCs/>
          <w:i/>
        </w:rPr>
      </w:pPr>
      <w:r w:rsidRPr="00E4306F">
        <w:rPr>
          <w:bCs/>
          <w:i/>
        </w:rPr>
        <w:t>Kansallinen toimintasuunnitelma radonriskien ehkäisemiseksi</w:t>
      </w:r>
    </w:p>
    <w:p w14:paraId="000B36EA" w14:textId="77777777" w:rsidR="0061744C" w:rsidRPr="0061744C" w:rsidRDefault="0061744C" w:rsidP="0061744C">
      <w:pPr>
        <w:pStyle w:val="Eivli"/>
        <w:rPr>
          <w:bCs/>
        </w:rPr>
      </w:pPr>
    </w:p>
    <w:p w14:paraId="40EF9775" w14:textId="47724CE5" w:rsidR="00E4306F" w:rsidRDefault="00E4306F" w:rsidP="00E4306F">
      <w:pPr>
        <w:pStyle w:val="Eivli"/>
      </w:pPr>
      <w:r w:rsidRPr="00E4306F">
        <w:t>Säteilylain</w:t>
      </w:r>
      <w:r w:rsidRPr="003B3935">
        <w:t xml:space="preserve"> </w:t>
      </w:r>
      <w:r w:rsidR="00F71915" w:rsidRPr="003B3935">
        <w:t xml:space="preserve">155 </w:t>
      </w:r>
      <w:r w:rsidRPr="003B3935">
        <w:t>§:ssä</w:t>
      </w:r>
      <w:r w:rsidRPr="00E4306F">
        <w:t xml:space="preserve"> tarkoitetussa toimintasuunnitelmassa käsitellään riskejä, jotka johtuvat maaperästä, rakennusmateriaaleista ja vedestä </w:t>
      </w:r>
      <w:r w:rsidR="001205E4">
        <w:t>vapautuvasta</w:t>
      </w:r>
      <w:r w:rsidRPr="00E4306F">
        <w:t xml:space="preserve"> radonista aiheutuvasta altistuksesta asunnoissa, muissa </w:t>
      </w:r>
      <w:r w:rsidR="00992F9E">
        <w:t>oleskelu</w:t>
      </w:r>
      <w:r w:rsidRPr="00E4306F">
        <w:t>tiloissa ja työpaikoilla.</w:t>
      </w:r>
    </w:p>
    <w:p w14:paraId="49466ABA" w14:textId="77777777" w:rsidR="0061744C" w:rsidRPr="00E4306F" w:rsidRDefault="0061744C" w:rsidP="00E4306F">
      <w:pPr>
        <w:pStyle w:val="Eivli"/>
      </w:pPr>
    </w:p>
    <w:p w14:paraId="429239AC" w14:textId="358A1B7C" w:rsidR="00E4306F" w:rsidRDefault="00E4306F" w:rsidP="00E4306F">
      <w:pPr>
        <w:pStyle w:val="Eivli"/>
      </w:pPr>
      <w:r w:rsidRPr="00E4306F">
        <w:t xml:space="preserve">Toimintasuunnitelma sisältää </w:t>
      </w:r>
      <w:r w:rsidR="009160CE">
        <w:t>liitteessä</w:t>
      </w:r>
      <w:r w:rsidR="009160CE" w:rsidRPr="00E4306F">
        <w:t xml:space="preserve"> </w:t>
      </w:r>
      <w:r w:rsidR="00BB7C97">
        <w:t>7</w:t>
      </w:r>
      <w:r w:rsidR="00BB7C97" w:rsidRPr="00E4306F">
        <w:t xml:space="preserve"> </w:t>
      </w:r>
      <w:r w:rsidR="00420E1F">
        <w:t>säädetyt</w:t>
      </w:r>
      <w:r w:rsidR="00420E1F" w:rsidRPr="00E4306F">
        <w:t xml:space="preserve"> </w:t>
      </w:r>
      <w:r w:rsidRPr="00E4306F">
        <w:t>asiat.</w:t>
      </w:r>
    </w:p>
    <w:p w14:paraId="2D79327F" w14:textId="77777777" w:rsidR="0061744C" w:rsidRPr="00E4306F" w:rsidRDefault="0061744C" w:rsidP="00E4306F">
      <w:pPr>
        <w:pStyle w:val="Eivli"/>
      </w:pPr>
    </w:p>
    <w:p w14:paraId="660D148F" w14:textId="7EBB50F9" w:rsidR="00F011EC" w:rsidRPr="00955175" w:rsidRDefault="00E4306F" w:rsidP="00E4306F">
      <w:pPr>
        <w:pStyle w:val="Eivli"/>
      </w:pPr>
      <w:r w:rsidRPr="00E4306F">
        <w:t>Toimintasuunnitelma päivitetään viiden vuoden välein.</w:t>
      </w:r>
    </w:p>
    <w:p w14:paraId="3C28D3AE" w14:textId="77777777" w:rsidR="001F1CA7" w:rsidRDefault="001F1CA7" w:rsidP="00A9254A">
      <w:pPr>
        <w:pStyle w:val="Eivli"/>
      </w:pPr>
    </w:p>
    <w:p w14:paraId="3EEE1756" w14:textId="77777777" w:rsidR="00D04590" w:rsidRDefault="00D04590" w:rsidP="004F264C">
      <w:pPr>
        <w:pStyle w:val="Eivli"/>
      </w:pPr>
    </w:p>
    <w:p w14:paraId="122B85EA" w14:textId="4BDEBE04" w:rsidR="004F264C" w:rsidRDefault="00DD2EBA" w:rsidP="004F264C">
      <w:pPr>
        <w:pStyle w:val="Eivli"/>
        <w:jc w:val="center"/>
      </w:pPr>
      <w:r>
        <w:t>1</w:t>
      </w:r>
      <w:r w:rsidR="00584C60">
        <w:t>3</w:t>
      </w:r>
      <w:r>
        <w:t xml:space="preserve"> </w:t>
      </w:r>
      <w:r w:rsidR="004F264C">
        <w:t>luku</w:t>
      </w:r>
    </w:p>
    <w:p w14:paraId="2ABD207E" w14:textId="10DA7C42" w:rsidR="004F264C" w:rsidRPr="002D3AAC" w:rsidRDefault="00DD2EBA" w:rsidP="004F264C">
      <w:pPr>
        <w:pStyle w:val="Eivli"/>
        <w:jc w:val="center"/>
        <w:rPr>
          <w:b/>
        </w:rPr>
      </w:pPr>
      <w:r>
        <w:rPr>
          <w:b/>
        </w:rPr>
        <w:t>Annosmittauspalvelu</w:t>
      </w:r>
      <w:r w:rsidR="00427871">
        <w:rPr>
          <w:b/>
        </w:rPr>
        <w:t>n ja muiden</w:t>
      </w:r>
      <w:r w:rsidR="00427871" w:rsidRPr="00427871">
        <w:rPr>
          <w:b/>
        </w:rPr>
        <w:t xml:space="preserve"> </w:t>
      </w:r>
      <w:r w:rsidR="00427871">
        <w:rPr>
          <w:b/>
        </w:rPr>
        <w:t>säteilymittausten hyväksyntä</w:t>
      </w:r>
    </w:p>
    <w:p w14:paraId="5D716EBD" w14:textId="77777777" w:rsidR="004F264C" w:rsidRDefault="004F264C" w:rsidP="00A9254A">
      <w:pPr>
        <w:pStyle w:val="Eivli"/>
      </w:pPr>
    </w:p>
    <w:p w14:paraId="00D2CD62" w14:textId="471C3A70" w:rsidR="00DD2EBA" w:rsidRDefault="00C66DC3" w:rsidP="00DD2EBA">
      <w:pPr>
        <w:pStyle w:val="Eivli"/>
        <w:jc w:val="center"/>
      </w:pPr>
      <w:r>
        <w:t xml:space="preserve">58 </w:t>
      </w:r>
      <w:r w:rsidR="00DD2EBA">
        <w:t>§</w:t>
      </w:r>
    </w:p>
    <w:p w14:paraId="658E1817" w14:textId="39AD49D8" w:rsidR="00DD2EBA" w:rsidRDefault="00DD2EBA" w:rsidP="00DD2EBA">
      <w:pPr>
        <w:pStyle w:val="Eivli"/>
        <w:jc w:val="center"/>
        <w:rPr>
          <w:i/>
        </w:rPr>
      </w:pPr>
      <w:r>
        <w:rPr>
          <w:i/>
        </w:rPr>
        <w:t>Annosmittauspalvelu</w:t>
      </w:r>
      <w:r w:rsidR="00636394">
        <w:rPr>
          <w:i/>
        </w:rPr>
        <w:t xml:space="preserve">n hyväksymisen </w:t>
      </w:r>
      <w:r>
        <w:rPr>
          <w:i/>
        </w:rPr>
        <w:t>hakeminen</w:t>
      </w:r>
    </w:p>
    <w:p w14:paraId="4E873695" w14:textId="77777777" w:rsidR="00DD2EBA" w:rsidRDefault="00DD2EBA" w:rsidP="00DD2EBA">
      <w:pPr>
        <w:pStyle w:val="Eivli"/>
      </w:pPr>
    </w:p>
    <w:p w14:paraId="5D7978D6" w14:textId="7A835FFE" w:rsidR="00DD2EBA" w:rsidRPr="00DD2EBA" w:rsidRDefault="00E4306F" w:rsidP="00DD2EBA">
      <w:pPr>
        <w:pStyle w:val="Eivli"/>
      </w:pPr>
      <w:r>
        <w:t>Annosmittauspalvelun hyväksyntää koskevasta h</w:t>
      </w:r>
      <w:r w:rsidR="00DD2EBA" w:rsidRPr="00DD2EBA">
        <w:t>akemuksesta on käytävä ilmi:</w:t>
      </w:r>
    </w:p>
    <w:p w14:paraId="181DA022" w14:textId="77777777" w:rsidR="00DD2EBA" w:rsidRPr="00DD2EBA" w:rsidRDefault="00DD2EBA" w:rsidP="00624C57">
      <w:pPr>
        <w:pStyle w:val="Eivli"/>
        <w:numPr>
          <w:ilvl w:val="0"/>
          <w:numId w:val="30"/>
        </w:numPr>
      </w:pPr>
      <w:r w:rsidRPr="00DD2EBA">
        <w:t>annosmittauspalvelun nimi;</w:t>
      </w:r>
    </w:p>
    <w:p w14:paraId="4394EB87" w14:textId="77777777" w:rsidR="00DD2EBA" w:rsidRPr="00DD2EBA" w:rsidRDefault="00DD2EBA" w:rsidP="00624C57">
      <w:pPr>
        <w:pStyle w:val="Eivli"/>
        <w:numPr>
          <w:ilvl w:val="0"/>
          <w:numId w:val="30"/>
        </w:numPr>
      </w:pPr>
      <w:r w:rsidRPr="00DD2EBA">
        <w:t>hakijan yksilöimiseksi tarpeelliset tiedot;</w:t>
      </w:r>
    </w:p>
    <w:p w14:paraId="431C7634" w14:textId="77777777" w:rsidR="00DD2EBA" w:rsidRPr="00DD2EBA" w:rsidRDefault="00DD2EBA" w:rsidP="00624C57">
      <w:pPr>
        <w:pStyle w:val="Eivli"/>
        <w:numPr>
          <w:ilvl w:val="0"/>
          <w:numId w:val="30"/>
        </w:numPr>
      </w:pPr>
      <w:r w:rsidRPr="00DD2EBA">
        <w:t>mittauspalvelun toiminnan kuvaus;</w:t>
      </w:r>
    </w:p>
    <w:p w14:paraId="35EF92C4" w14:textId="77777777" w:rsidR="00DD2EBA" w:rsidRPr="00DD2EBA" w:rsidRDefault="00DD2EBA" w:rsidP="00624C57">
      <w:pPr>
        <w:pStyle w:val="Eivli"/>
        <w:numPr>
          <w:ilvl w:val="0"/>
          <w:numId w:val="30"/>
        </w:numPr>
      </w:pPr>
      <w:r w:rsidRPr="00DD2EBA">
        <w:t>mittauspalvelun yhteyshenkilö;</w:t>
      </w:r>
    </w:p>
    <w:p w14:paraId="42DE35EE" w14:textId="77777777" w:rsidR="00DD2EBA" w:rsidRPr="00DD2EBA" w:rsidRDefault="00DD2EBA" w:rsidP="00624C57">
      <w:pPr>
        <w:pStyle w:val="Eivli"/>
        <w:numPr>
          <w:ilvl w:val="0"/>
          <w:numId w:val="30"/>
        </w:numPr>
      </w:pPr>
      <w:r w:rsidRPr="00DD2EBA">
        <w:t>mittauspalvelun toimipaikat yhteystietoineen;</w:t>
      </w:r>
    </w:p>
    <w:p w14:paraId="61C7C54C" w14:textId="06FF30A7" w:rsidR="00DD2EBA" w:rsidRPr="00DD2EBA" w:rsidRDefault="00270746" w:rsidP="00624C57">
      <w:pPr>
        <w:pStyle w:val="Eivli"/>
        <w:numPr>
          <w:ilvl w:val="0"/>
          <w:numId w:val="30"/>
        </w:numPr>
      </w:pPr>
      <w:r>
        <w:t>annos</w:t>
      </w:r>
      <w:r w:rsidR="00DD2EBA" w:rsidRPr="00DD2EBA">
        <w:t>mittausjärjestelmän yksityiskohtainen kuvaus;</w:t>
      </w:r>
    </w:p>
    <w:p w14:paraId="47E8ECA5" w14:textId="77777777" w:rsidR="00DD2EBA" w:rsidRPr="00DD2EBA" w:rsidRDefault="00DD2EBA" w:rsidP="00624C57">
      <w:pPr>
        <w:pStyle w:val="Eivli"/>
        <w:numPr>
          <w:ilvl w:val="0"/>
          <w:numId w:val="30"/>
        </w:numPr>
      </w:pPr>
      <w:r w:rsidRPr="00DD2EBA">
        <w:t>dokumentit kalibroinneista, testauksista ja mittausepävarmuudesta;</w:t>
      </w:r>
    </w:p>
    <w:p w14:paraId="4DCB4F55" w14:textId="77777777" w:rsidR="00DD2EBA" w:rsidRPr="00DD2EBA" w:rsidRDefault="00DD2EBA" w:rsidP="00624C57">
      <w:pPr>
        <w:pStyle w:val="Eivli"/>
        <w:numPr>
          <w:ilvl w:val="0"/>
          <w:numId w:val="30"/>
        </w:numPr>
      </w:pPr>
      <w:r w:rsidRPr="00DD2EBA">
        <w:t>kopiot akkreditointipäätöksestä ja akkreditointipalvelun määräaikaisarviointien pöytäkirjoista;</w:t>
      </w:r>
    </w:p>
    <w:p w14:paraId="3445CC6B" w14:textId="50044EB6" w:rsidR="00DD2EBA" w:rsidRDefault="00DD2EBA" w:rsidP="00624C57">
      <w:pPr>
        <w:pStyle w:val="Eivli"/>
        <w:numPr>
          <w:ilvl w:val="0"/>
          <w:numId w:val="30"/>
        </w:numPr>
      </w:pPr>
      <w:r w:rsidRPr="00DD2EBA">
        <w:t>perustelut akkreditoinnin puuttumiselle, jos akkreditointia ei ole, ja kuvaus standardin SFS-EN ISO/IEC 17025 mukaisesta laatujärjestelmästä.</w:t>
      </w:r>
    </w:p>
    <w:p w14:paraId="4B36B42F" w14:textId="77777777" w:rsidR="00E4306F" w:rsidRDefault="00E4306F" w:rsidP="00E4306F">
      <w:pPr>
        <w:pStyle w:val="Eivli"/>
      </w:pPr>
    </w:p>
    <w:p w14:paraId="6583EC10" w14:textId="42422F7F" w:rsidR="00E4306F" w:rsidRPr="00E4306F" w:rsidRDefault="00E4306F" w:rsidP="00E4306F">
      <w:pPr>
        <w:pStyle w:val="Eivli"/>
      </w:pPr>
      <w:r w:rsidRPr="00E4306F">
        <w:t>Annosmittausjärjestelmään kuuluvat henkilökohtaiset annosmittarit, lukijalaitteet ja oheislaitteet sekä annosten määrittämisessä käytettävät ohjelmat ja menettelyohjeet.</w:t>
      </w:r>
    </w:p>
    <w:p w14:paraId="7AA0DC06" w14:textId="77777777" w:rsidR="00DD2EBA" w:rsidRDefault="00DD2EBA" w:rsidP="00A9254A">
      <w:pPr>
        <w:pStyle w:val="Eivli"/>
      </w:pPr>
    </w:p>
    <w:p w14:paraId="3467D649" w14:textId="77777777" w:rsidR="004F264C" w:rsidRDefault="004F264C" w:rsidP="00A9254A">
      <w:pPr>
        <w:pStyle w:val="Eivli"/>
      </w:pPr>
    </w:p>
    <w:p w14:paraId="75E5D944" w14:textId="1249DD85" w:rsidR="004A04CB" w:rsidRDefault="00C66DC3" w:rsidP="00DA5A1E">
      <w:pPr>
        <w:pStyle w:val="Eivli"/>
        <w:jc w:val="center"/>
      </w:pPr>
      <w:r>
        <w:t>59</w:t>
      </w:r>
      <w:r w:rsidR="004A04CB">
        <w:t xml:space="preserve"> §</w:t>
      </w:r>
    </w:p>
    <w:p w14:paraId="0D208A31" w14:textId="19A41248" w:rsidR="004A04CB" w:rsidRPr="00DA5A1E" w:rsidRDefault="004A04CB" w:rsidP="00DA5A1E">
      <w:pPr>
        <w:pStyle w:val="Eivli"/>
        <w:jc w:val="center"/>
        <w:rPr>
          <w:i/>
        </w:rPr>
      </w:pPr>
      <w:r w:rsidRPr="00DA5A1E">
        <w:rPr>
          <w:i/>
        </w:rPr>
        <w:t xml:space="preserve">Muiden </w:t>
      </w:r>
      <w:r w:rsidR="00427871" w:rsidRPr="00DA5A1E">
        <w:rPr>
          <w:i/>
        </w:rPr>
        <w:t>säteilymittausten</w:t>
      </w:r>
      <w:r w:rsidRPr="00DA5A1E">
        <w:rPr>
          <w:i/>
        </w:rPr>
        <w:t xml:space="preserve"> hyväksymisen hakeminen</w:t>
      </w:r>
    </w:p>
    <w:p w14:paraId="23B76FE3" w14:textId="77777777" w:rsidR="00DA5A1E" w:rsidRDefault="00DA5A1E" w:rsidP="00DA5A1E">
      <w:pPr>
        <w:pStyle w:val="Eivli"/>
      </w:pPr>
    </w:p>
    <w:p w14:paraId="5CDC091E" w14:textId="77777777" w:rsidR="004A04CB" w:rsidRDefault="004A04CB" w:rsidP="00DA5A1E">
      <w:pPr>
        <w:pStyle w:val="Eivli"/>
      </w:pPr>
      <w:r>
        <w:t>Säteilylain 60 §:ss</w:t>
      </w:r>
      <w:r w:rsidR="007A02B2">
        <w:t>ä</w:t>
      </w:r>
      <w:r>
        <w:t xml:space="preserve"> tarkoitettua hyväksyntää koskevasta hakemuksesta on käytävä ilmi:</w:t>
      </w:r>
    </w:p>
    <w:p w14:paraId="683CEB48" w14:textId="77777777" w:rsidR="004A04CB" w:rsidRDefault="004A04CB" w:rsidP="000B2864">
      <w:pPr>
        <w:pStyle w:val="Eivli"/>
        <w:numPr>
          <w:ilvl w:val="0"/>
          <w:numId w:val="47"/>
        </w:numPr>
      </w:pPr>
      <w:r>
        <w:t>hakijan yksilöimiseksi tarpeelliset tiedot ja yhteyshenkilö;</w:t>
      </w:r>
    </w:p>
    <w:p w14:paraId="4BF506A9" w14:textId="77777777" w:rsidR="004A04CB" w:rsidRDefault="00427871" w:rsidP="000B2864">
      <w:pPr>
        <w:pStyle w:val="Eivli"/>
        <w:numPr>
          <w:ilvl w:val="0"/>
          <w:numId w:val="47"/>
        </w:numPr>
      </w:pPr>
      <w:r>
        <w:t xml:space="preserve">mittausmenetelmä, </w:t>
      </w:r>
      <w:r w:rsidR="004A04CB">
        <w:t>mittarin tai mittauslaitteiston aiottu käyttötarkoitus, mitattavat säteilyn lajit ja energia-alueet sekä mittaussuureet ja -alueet;</w:t>
      </w:r>
    </w:p>
    <w:p w14:paraId="5D09C9A8" w14:textId="77777777" w:rsidR="004A04CB" w:rsidRDefault="004A04CB" w:rsidP="000B2864">
      <w:pPr>
        <w:pStyle w:val="Eivli"/>
        <w:numPr>
          <w:ilvl w:val="0"/>
          <w:numId w:val="47"/>
        </w:numPr>
      </w:pPr>
      <w:r>
        <w:t>mittarin tai mittauslaitteiston yksityiskohtainen kuvaus;</w:t>
      </w:r>
    </w:p>
    <w:p w14:paraId="08828E30" w14:textId="247178F4" w:rsidR="004A04CB" w:rsidRDefault="004A04CB" w:rsidP="000B2864">
      <w:pPr>
        <w:pStyle w:val="Eivli"/>
        <w:numPr>
          <w:ilvl w:val="0"/>
          <w:numId w:val="47"/>
        </w:numPr>
      </w:pPr>
      <w:r>
        <w:t>todistukset ja muut dokumentit kalibroinneista, testauksista ja mittausepävarmuudesta</w:t>
      </w:r>
      <w:r w:rsidR="007A02B2">
        <w:t>.</w:t>
      </w:r>
    </w:p>
    <w:p w14:paraId="0AAF85FA" w14:textId="77777777" w:rsidR="00427871" w:rsidRDefault="00427871" w:rsidP="007A02B2">
      <w:pPr>
        <w:pStyle w:val="Eivli"/>
      </w:pPr>
    </w:p>
    <w:p w14:paraId="07661EC3" w14:textId="35B71BAE" w:rsidR="004A04CB" w:rsidRDefault="004A04CB" w:rsidP="007A02B2">
      <w:pPr>
        <w:pStyle w:val="Eivli"/>
      </w:pPr>
      <w:r>
        <w:t>Mittauslaitteistoon kuuluvat mittauslaitteet</w:t>
      </w:r>
      <w:r w:rsidR="00406EE1">
        <w:t xml:space="preserve"> ja</w:t>
      </w:r>
      <w:r>
        <w:t xml:space="preserve"> kaikki mittaustuloksen saamiseen käytettävät laitteet</w:t>
      </w:r>
      <w:r w:rsidR="00406EE1">
        <w:t>.</w:t>
      </w:r>
    </w:p>
    <w:p w14:paraId="51D6BA54" w14:textId="77777777" w:rsidR="007A02B2" w:rsidRDefault="007A02B2" w:rsidP="007A02B2">
      <w:pPr>
        <w:pStyle w:val="Eivli"/>
      </w:pPr>
    </w:p>
    <w:p w14:paraId="5B4BC735" w14:textId="77777777" w:rsidR="007A02B2" w:rsidRDefault="007A02B2" w:rsidP="007A02B2">
      <w:pPr>
        <w:pStyle w:val="Eivli"/>
      </w:pPr>
    </w:p>
    <w:p w14:paraId="2D9113EB" w14:textId="3E2BF215" w:rsidR="00123550" w:rsidRDefault="00123550" w:rsidP="00123550">
      <w:pPr>
        <w:pStyle w:val="Eivli"/>
        <w:jc w:val="center"/>
      </w:pPr>
      <w:r>
        <w:t>1</w:t>
      </w:r>
      <w:r w:rsidR="00584C60">
        <w:t>4</w:t>
      </w:r>
      <w:r>
        <w:t xml:space="preserve"> luku</w:t>
      </w:r>
    </w:p>
    <w:p w14:paraId="31B5E913" w14:textId="09EF1B20" w:rsidR="00123550" w:rsidRPr="002D3AAC" w:rsidRDefault="00584C60" w:rsidP="00123550">
      <w:pPr>
        <w:pStyle w:val="Eivli"/>
        <w:jc w:val="center"/>
        <w:rPr>
          <w:b/>
        </w:rPr>
      </w:pPr>
      <w:r>
        <w:rPr>
          <w:b/>
        </w:rPr>
        <w:t>Säteilyturvakeskuksen tarkastusohjelma</w:t>
      </w:r>
    </w:p>
    <w:p w14:paraId="123AD914" w14:textId="77777777" w:rsidR="007A02B2" w:rsidRPr="002D3AAC" w:rsidRDefault="007A02B2" w:rsidP="007A02B2">
      <w:pPr>
        <w:pStyle w:val="Eivli"/>
        <w:rPr>
          <w:b/>
        </w:rPr>
      </w:pPr>
    </w:p>
    <w:p w14:paraId="31EA9DAF" w14:textId="36C3FCC7" w:rsidR="00123550" w:rsidRDefault="00C66DC3" w:rsidP="00123550">
      <w:pPr>
        <w:pStyle w:val="Eivli"/>
        <w:jc w:val="center"/>
      </w:pPr>
      <w:r>
        <w:t xml:space="preserve">60 </w:t>
      </w:r>
      <w:r w:rsidR="00123550">
        <w:t>§</w:t>
      </w:r>
    </w:p>
    <w:p w14:paraId="10B01AB1" w14:textId="77777777" w:rsidR="00123550" w:rsidRDefault="00123550" w:rsidP="00123550">
      <w:pPr>
        <w:pStyle w:val="Eivli"/>
        <w:jc w:val="center"/>
        <w:rPr>
          <w:i/>
        </w:rPr>
      </w:pPr>
      <w:r>
        <w:rPr>
          <w:i/>
        </w:rPr>
        <w:t>Säteilyturvakeskuksen tarkastusohjelma</w:t>
      </w:r>
    </w:p>
    <w:p w14:paraId="4EFCC327" w14:textId="77777777" w:rsidR="00123550" w:rsidRDefault="00123550" w:rsidP="00123550">
      <w:pPr>
        <w:pStyle w:val="Eivli"/>
      </w:pPr>
    </w:p>
    <w:p w14:paraId="51D79A9D" w14:textId="77777777" w:rsidR="00123550" w:rsidRPr="00BA77A8" w:rsidRDefault="00123550" w:rsidP="00123550">
      <w:pPr>
        <w:pStyle w:val="Eivli"/>
      </w:pPr>
      <w:r w:rsidRPr="00E52870">
        <w:t>Säteilylain 179 §:ssä</w:t>
      </w:r>
      <w:r w:rsidRPr="00BA77A8">
        <w:t xml:space="preserve"> tarkoitettu tarkastusohjelma laaditaan siten, että sen mukaisella valvonnalla saadaan </w:t>
      </w:r>
      <w:r>
        <w:t xml:space="preserve">toiminnasta aiheutuvat riskit huomioiden </w:t>
      </w:r>
      <w:r w:rsidRPr="00BA77A8">
        <w:t>riittävä varmuus säteilytoiminnan turvallisuudesta</w:t>
      </w:r>
      <w:r>
        <w:t xml:space="preserve"> ja</w:t>
      </w:r>
      <w:r w:rsidRPr="00BA77A8">
        <w:t xml:space="preserve"> säteilylain säännösten </w:t>
      </w:r>
      <w:r>
        <w:t>ja</w:t>
      </w:r>
      <w:r w:rsidRPr="00BA77A8">
        <w:t xml:space="preserve"> turvallisuusluvissa olevien</w:t>
      </w:r>
      <w:r>
        <w:t xml:space="preserve"> ehtojen noudattamisesta.</w:t>
      </w:r>
    </w:p>
    <w:p w14:paraId="5E20184A" w14:textId="6792BB06" w:rsidR="00123550" w:rsidRDefault="00123550" w:rsidP="00123550">
      <w:pPr>
        <w:pStyle w:val="Eivli"/>
      </w:pPr>
    </w:p>
    <w:p w14:paraId="1050AB0C" w14:textId="77777777" w:rsidR="00123550" w:rsidRDefault="00123550" w:rsidP="00123550">
      <w:pPr>
        <w:pStyle w:val="Eivli"/>
      </w:pPr>
    </w:p>
    <w:p w14:paraId="01BEAEE0" w14:textId="17C52062" w:rsidR="00123550" w:rsidRDefault="00C66DC3" w:rsidP="00123550">
      <w:pPr>
        <w:pStyle w:val="Eivli"/>
        <w:jc w:val="center"/>
      </w:pPr>
      <w:r>
        <w:t xml:space="preserve">61 </w:t>
      </w:r>
      <w:r w:rsidR="00123550">
        <w:t>§</w:t>
      </w:r>
    </w:p>
    <w:p w14:paraId="0B476DBE" w14:textId="77777777" w:rsidR="00123550" w:rsidRDefault="00123550" w:rsidP="00123550">
      <w:pPr>
        <w:pStyle w:val="Eivli"/>
        <w:jc w:val="center"/>
      </w:pPr>
      <w:r>
        <w:rPr>
          <w:i/>
        </w:rPr>
        <w:t>Tarkastusohjelman sisältö</w:t>
      </w:r>
    </w:p>
    <w:p w14:paraId="4E49C580" w14:textId="77777777" w:rsidR="00123550" w:rsidRDefault="00123550" w:rsidP="00123550">
      <w:pPr>
        <w:pStyle w:val="Eivli"/>
      </w:pPr>
    </w:p>
    <w:p w14:paraId="7F2AA829" w14:textId="3A61AEDD" w:rsidR="00123550" w:rsidRPr="00B5307F" w:rsidRDefault="00123550" w:rsidP="00123550">
      <w:pPr>
        <w:pStyle w:val="Eivli"/>
      </w:pPr>
      <w:r w:rsidRPr="00B5307F">
        <w:t>Tarkastusohjelmaan sisältyy ennalta ilmoittaen ja ennalta ilmoittamatta tehtäviä</w:t>
      </w:r>
      <w:r>
        <w:t>,</w:t>
      </w:r>
      <w:r w:rsidRPr="00B5307F">
        <w:t xml:space="preserve"> säännöllisiä ja epäilyyn perustuvia tarkastuksia.</w:t>
      </w:r>
    </w:p>
    <w:p w14:paraId="22823AA9" w14:textId="77777777" w:rsidR="00123550" w:rsidRPr="00B5307F" w:rsidRDefault="00123550" w:rsidP="00123550">
      <w:pPr>
        <w:pStyle w:val="Eivli"/>
      </w:pPr>
    </w:p>
    <w:p w14:paraId="79113258" w14:textId="77777777" w:rsidR="00123550" w:rsidRDefault="00123550" w:rsidP="00123550">
      <w:pPr>
        <w:pStyle w:val="Eivli"/>
      </w:pPr>
      <w:r w:rsidRPr="00B5307F">
        <w:lastRenderedPageBreak/>
        <w:t>Tarkastusohjelmaan voi sisältyä myös valvontakyselyihin sekä toiminnanharjoittajalta saatuihin tietoihin ja tietoaineistoihin perustuvia tarkastuksia, joihin ei kuulu käyntiä toiminnan harjoittamispaikalla.</w:t>
      </w:r>
    </w:p>
    <w:p w14:paraId="23C548B7" w14:textId="77777777" w:rsidR="00123550" w:rsidRDefault="00123550" w:rsidP="00123550">
      <w:pPr>
        <w:pStyle w:val="Eivli"/>
      </w:pPr>
    </w:p>
    <w:p w14:paraId="628359CA" w14:textId="257FCD1F" w:rsidR="00123550" w:rsidRDefault="00123550" w:rsidP="00123550">
      <w:pPr>
        <w:pStyle w:val="Eivli"/>
      </w:pPr>
      <w:r w:rsidRPr="00B5307F">
        <w:t xml:space="preserve">Ohjelmassa </w:t>
      </w:r>
      <w:r>
        <w:t>esitetään</w:t>
      </w:r>
      <w:r w:rsidRPr="00B5307F">
        <w:t xml:space="preserve"> tavoitteelliset määrävälit säännöllisille tarkastuksille, perusteet erityyppisten tarkastusten tekemiselle ja tarkastusten keskeinen sisältö. </w:t>
      </w:r>
      <w:r>
        <w:t>Ohjelmassa</w:t>
      </w:r>
      <w:r w:rsidRPr="00B5307F">
        <w:t xml:space="preserve"> otetaan huomioon säteilylain </w:t>
      </w:r>
      <w:r w:rsidRPr="00E52870">
        <w:t>27 §:ss</w:t>
      </w:r>
      <w:r w:rsidR="008572AD">
        <w:t>ä</w:t>
      </w:r>
      <w:r w:rsidRPr="00B5307F">
        <w:t xml:space="preserve"> tarkoitetu</w:t>
      </w:r>
      <w:r>
        <w:t>t</w:t>
      </w:r>
      <w:r w:rsidRPr="00B5307F">
        <w:t xml:space="preserve"> </w:t>
      </w:r>
      <w:r>
        <w:t>säteily</w:t>
      </w:r>
      <w:r w:rsidRPr="00B5307F">
        <w:t>toimintoj</w:t>
      </w:r>
      <w:r>
        <w:t>a koskevat</w:t>
      </w:r>
      <w:r w:rsidRPr="00B5307F">
        <w:t xml:space="preserve"> luokitu</w:t>
      </w:r>
      <w:r>
        <w:t>kset</w:t>
      </w:r>
      <w:r w:rsidRPr="00B5307F">
        <w:t xml:space="preserve"> ja aiemmissa tarkastuksissa tehdyistä havainnoista kertyneet kokemukset.</w:t>
      </w:r>
    </w:p>
    <w:p w14:paraId="472A45C5" w14:textId="77777777" w:rsidR="00DD2EBA" w:rsidRDefault="00DD2EBA" w:rsidP="00A9254A">
      <w:pPr>
        <w:pStyle w:val="Eivli"/>
      </w:pPr>
    </w:p>
    <w:p w14:paraId="2A4B84D1" w14:textId="77777777" w:rsidR="00E4306F" w:rsidRDefault="00E4306F" w:rsidP="00A9254A">
      <w:pPr>
        <w:pStyle w:val="Eivli"/>
      </w:pPr>
    </w:p>
    <w:p w14:paraId="59309FBD" w14:textId="2223F90D" w:rsidR="00E4306F" w:rsidRDefault="00E4306F" w:rsidP="00E4306F">
      <w:pPr>
        <w:pStyle w:val="Eivli"/>
        <w:jc w:val="center"/>
      </w:pPr>
      <w:r>
        <w:t>1</w:t>
      </w:r>
      <w:r w:rsidR="00584C60">
        <w:t>5</w:t>
      </w:r>
      <w:r>
        <w:t xml:space="preserve"> luku</w:t>
      </w:r>
    </w:p>
    <w:p w14:paraId="22C837B3" w14:textId="472BE8D3" w:rsidR="00E4306F" w:rsidRPr="00584C60" w:rsidRDefault="00E4306F" w:rsidP="00584C60">
      <w:pPr>
        <w:pStyle w:val="Eivli"/>
        <w:jc w:val="center"/>
        <w:rPr>
          <w:b/>
        </w:rPr>
      </w:pPr>
      <w:r>
        <w:rPr>
          <w:b/>
        </w:rPr>
        <w:t>Säteilyturva</w:t>
      </w:r>
      <w:r w:rsidR="00FB795D">
        <w:rPr>
          <w:b/>
        </w:rPr>
        <w:t>llisuus</w:t>
      </w:r>
      <w:r>
        <w:rPr>
          <w:b/>
        </w:rPr>
        <w:t>neuvottelukunta</w:t>
      </w:r>
    </w:p>
    <w:p w14:paraId="760D9E33" w14:textId="77777777" w:rsidR="00E4306F" w:rsidRPr="002D3AAC" w:rsidRDefault="00E4306F" w:rsidP="00E4306F">
      <w:pPr>
        <w:pStyle w:val="Eivli"/>
      </w:pPr>
    </w:p>
    <w:p w14:paraId="037AF202" w14:textId="72022BFC" w:rsidR="00E4306F" w:rsidRDefault="00C66DC3" w:rsidP="00E4306F">
      <w:pPr>
        <w:pStyle w:val="Eivli"/>
        <w:jc w:val="center"/>
      </w:pPr>
      <w:r>
        <w:t xml:space="preserve">62 </w:t>
      </w:r>
      <w:r w:rsidR="00E4306F">
        <w:t>§</w:t>
      </w:r>
    </w:p>
    <w:p w14:paraId="1EA2E45C" w14:textId="77777777" w:rsidR="00E4306F" w:rsidRDefault="00E4306F" w:rsidP="00E4306F">
      <w:pPr>
        <w:pStyle w:val="Eivli"/>
        <w:jc w:val="center"/>
        <w:rPr>
          <w:i/>
        </w:rPr>
      </w:pPr>
      <w:r>
        <w:rPr>
          <w:i/>
        </w:rPr>
        <w:t>Tehtävät</w:t>
      </w:r>
    </w:p>
    <w:p w14:paraId="6A1F68A6" w14:textId="77777777" w:rsidR="00E4306F" w:rsidRDefault="00E4306F" w:rsidP="00E4306F">
      <w:pPr>
        <w:pStyle w:val="Eivli"/>
      </w:pPr>
    </w:p>
    <w:p w14:paraId="785EAF4C" w14:textId="77777777" w:rsidR="008572AD" w:rsidRDefault="00E4306F" w:rsidP="00E4306F">
      <w:pPr>
        <w:pStyle w:val="Eivli"/>
      </w:pPr>
      <w:r w:rsidRPr="0046672F">
        <w:t>Säteilyturva</w:t>
      </w:r>
      <w:r w:rsidR="00FB795D">
        <w:t>llisuus</w:t>
      </w:r>
      <w:r w:rsidRPr="0046672F">
        <w:t>neuvottelukunnan tehtävänä on:</w:t>
      </w:r>
    </w:p>
    <w:p w14:paraId="30DC3513" w14:textId="77777777" w:rsidR="008572AD" w:rsidRDefault="00E4306F" w:rsidP="000B2864">
      <w:pPr>
        <w:pStyle w:val="Eivli"/>
        <w:numPr>
          <w:ilvl w:val="0"/>
          <w:numId w:val="48"/>
        </w:numPr>
      </w:pPr>
      <w:r w:rsidRPr="0046672F">
        <w:t>antaa lausuntoja säteilytoimintaa, vallitsevia altistustilanteita ja säteilyvaaratilanteita koskevista asioista sekä muista säteilyturvallisuuden kannalta merkittävistä asioista;</w:t>
      </w:r>
    </w:p>
    <w:p w14:paraId="361CE40B" w14:textId="77777777" w:rsidR="008572AD" w:rsidRDefault="00E4306F" w:rsidP="000B2864">
      <w:pPr>
        <w:pStyle w:val="Eivli"/>
        <w:numPr>
          <w:ilvl w:val="0"/>
          <w:numId w:val="48"/>
        </w:numPr>
      </w:pPr>
      <w:r w:rsidRPr="0046672F">
        <w:t>antaa lausuntoja Säteilyturvakeskuksen ja muiden viranomaisten valmistelemista säteilyturvallisuutta koskevista säännöksistä ja määräyksistä;</w:t>
      </w:r>
    </w:p>
    <w:p w14:paraId="5E1E9499" w14:textId="77777777" w:rsidR="008572AD" w:rsidRDefault="00E4306F" w:rsidP="000B2864">
      <w:pPr>
        <w:pStyle w:val="Eivli"/>
        <w:numPr>
          <w:ilvl w:val="0"/>
          <w:numId w:val="48"/>
        </w:numPr>
      </w:pPr>
      <w:r w:rsidRPr="0046672F">
        <w:t>seurata säteilyturvallisuuden kehitystä ja alan tutkimusta;</w:t>
      </w:r>
    </w:p>
    <w:p w14:paraId="2DF492F5" w14:textId="77777777" w:rsidR="008572AD" w:rsidRDefault="00E4306F" w:rsidP="000B2864">
      <w:pPr>
        <w:pStyle w:val="Eivli"/>
        <w:numPr>
          <w:ilvl w:val="0"/>
          <w:numId w:val="48"/>
        </w:numPr>
      </w:pPr>
      <w:r w:rsidRPr="0046672F">
        <w:t>edistää säteilyturvallisuutta koskevaa kotimaista yhteistyötä sekä seurata kansainvälistä yhteistyötä;</w:t>
      </w:r>
    </w:p>
    <w:p w14:paraId="51FE903B" w14:textId="6B12546F" w:rsidR="00E4306F" w:rsidRDefault="00E4306F" w:rsidP="000B2864">
      <w:pPr>
        <w:pStyle w:val="Eivli"/>
        <w:numPr>
          <w:ilvl w:val="0"/>
          <w:numId w:val="48"/>
        </w:numPr>
      </w:pPr>
      <w:r w:rsidRPr="0046672F">
        <w:t>tehdä toimivaltaisille viranomaisille aloitteita säteilyturvallisuutta koskeviksi tarpeellisiksi toimenpiteiksi.</w:t>
      </w:r>
    </w:p>
    <w:p w14:paraId="2DEFFECD" w14:textId="77777777" w:rsidR="00E4306F" w:rsidRDefault="00E4306F" w:rsidP="00E4306F">
      <w:pPr>
        <w:pStyle w:val="Eivli"/>
      </w:pPr>
    </w:p>
    <w:p w14:paraId="6B0ED05E" w14:textId="77777777" w:rsidR="00E4306F" w:rsidRDefault="00E4306F" w:rsidP="00E4306F">
      <w:pPr>
        <w:pStyle w:val="Eivli"/>
      </w:pPr>
    </w:p>
    <w:p w14:paraId="325C9472" w14:textId="01872218" w:rsidR="00E4306F" w:rsidRDefault="00C66DC3" w:rsidP="00E4306F">
      <w:pPr>
        <w:pStyle w:val="Eivli"/>
        <w:jc w:val="center"/>
      </w:pPr>
      <w:r>
        <w:t xml:space="preserve">63 </w:t>
      </w:r>
      <w:r w:rsidR="00E4306F">
        <w:t>§</w:t>
      </w:r>
    </w:p>
    <w:p w14:paraId="24B79B47" w14:textId="77777777" w:rsidR="00E4306F" w:rsidRPr="0046672F" w:rsidRDefault="00E4306F" w:rsidP="00E4306F">
      <w:pPr>
        <w:pStyle w:val="Eivli"/>
        <w:jc w:val="center"/>
        <w:rPr>
          <w:i/>
        </w:rPr>
      </w:pPr>
      <w:r>
        <w:rPr>
          <w:i/>
        </w:rPr>
        <w:t>Toimikausi ja kokoonpano</w:t>
      </w:r>
    </w:p>
    <w:p w14:paraId="32CCBFAC" w14:textId="77777777" w:rsidR="00E4306F" w:rsidRDefault="00E4306F" w:rsidP="00E4306F">
      <w:pPr>
        <w:pStyle w:val="Eivli"/>
      </w:pPr>
    </w:p>
    <w:p w14:paraId="73E1EAE5" w14:textId="05F977E5" w:rsidR="00E4306F" w:rsidRDefault="00E4306F" w:rsidP="00E4306F">
      <w:pPr>
        <w:pStyle w:val="Eivli"/>
      </w:pPr>
      <w:r w:rsidRPr="0046672F">
        <w:t xml:space="preserve">Valtioneuvosto nimittää </w:t>
      </w:r>
      <w:r w:rsidR="008572AD">
        <w:t>säteilyturvallisuus</w:t>
      </w:r>
      <w:r w:rsidRPr="0046672F">
        <w:t>neuvottelukunnan puheenjohtajan, varapuheenjohtajan ja enintään seitsemän muuta jäsentä kolmeksi vuodeksi kerrallaan. Kullakin jäsenellä on henkilökohtainen varajäsen. Neuvottelukunnan jäseniksi nimitettävien on edustettava korkeatasoista säteilyturvallisuusalan asiantuntemusta</w:t>
      </w:r>
      <w:r>
        <w:t>.</w:t>
      </w:r>
    </w:p>
    <w:p w14:paraId="3CFD42FC" w14:textId="77777777" w:rsidR="00E4306F" w:rsidRDefault="00E4306F" w:rsidP="00E4306F">
      <w:pPr>
        <w:pStyle w:val="Eivli"/>
      </w:pPr>
    </w:p>
    <w:p w14:paraId="5AFF97AF" w14:textId="77777777" w:rsidR="00E4306F" w:rsidRDefault="00E4306F" w:rsidP="00E4306F">
      <w:pPr>
        <w:pStyle w:val="Eivli"/>
      </w:pPr>
    </w:p>
    <w:p w14:paraId="1A6B021F" w14:textId="6BB0332D" w:rsidR="00E4306F" w:rsidRDefault="00C66DC3" w:rsidP="00E4306F">
      <w:pPr>
        <w:pStyle w:val="Eivli"/>
        <w:jc w:val="center"/>
      </w:pPr>
      <w:r>
        <w:t xml:space="preserve">64 </w:t>
      </w:r>
      <w:r w:rsidR="00E4306F">
        <w:t>§</w:t>
      </w:r>
    </w:p>
    <w:p w14:paraId="163D282B" w14:textId="77777777" w:rsidR="00E4306F" w:rsidRDefault="00E4306F" w:rsidP="00E4306F">
      <w:pPr>
        <w:pStyle w:val="Eivli"/>
        <w:jc w:val="center"/>
      </w:pPr>
      <w:r>
        <w:t>Asiantuntijat ja jaostot</w:t>
      </w:r>
    </w:p>
    <w:p w14:paraId="433AC958" w14:textId="77777777" w:rsidR="00E4306F" w:rsidRDefault="00E4306F" w:rsidP="00E4306F">
      <w:pPr>
        <w:pStyle w:val="Eivli"/>
      </w:pPr>
    </w:p>
    <w:p w14:paraId="414B1900" w14:textId="6DB25192" w:rsidR="00E4306F" w:rsidRDefault="008572AD" w:rsidP="00E4306F">
      <w:r>
        <w:t>Säteilyturvallisuusn</w:t>
      </w:r>
      <w:r w:rsidR="00E4306F">
        <w:t xml:space="preserve">euvottelukunta voi kutsua toimikaudekseen pysyviä asiantuntijoita. </w:t>
      </w:r>
      <w:r w:rsidR="00E4306F" w:rsidRPr="006A0F8B">
        <w:t>Neuvottelukunnan pysyvänä asiantuntijana toimii Säteilyturvakeskuksen pääjohtaja.</w:t>
      </w:r>
    </w:p>
    <w:p w14:paraId="790ADB48" w14:textId="77777777" w:rsidR="00E4306F" w:rsidRDefault="00E4306F" w:rsidP="00E4306F">
      <w:pPr>
        <w:pStyle w:val="Eivli"/>
      </w:pPr>
      <w:r w:rsidRPr="006A0F8B">
        <w:t>Neuvottelukunta voi asettaa asioiden valmistelua varten jaostoja, joihin neuvottelukunta voi kutsua myös neuvottelukuntaan kuulumattomia pysyviä asiantuntijoita. Jaosto voi myös kuulla asiantuntijoita. Jaoston puheenjohtajan on oltava neuvottelukunnan jäsen.</w:t>
      </w:r>
    </w:p>
    <w:p w14:paraId="308B4188" w14:textId="77777777" w:rsidR="00E4306F" w:rsidRDefault="00E4306F" w:rsidP="00E4306F">
      <w:pPr>
        <w:pStyle w:val="Eivli"/>
      </w:pPr>
    </w:p>
    <w:p w14:paraId="695DD94B" w14:textId="77777777" w:rsidR="00E4306F" w:rsidRDefault="00E4306F" w:rsidP="00E4306F">
      <w:pPr>
        <w:pStyle w:val="Eivli"/>
      </w:pPr>
    </w:p>
    <w:p w14:paraId="5065F8BF" w14:textId="5326CB6D" w:rsidR="00E4306F" w:rsidRDefault="00C66DC3" w:rsidP="00E4306F">
      <w:pPr>
        <w:pStyle w:val="Eivli"/>
        <w:jc w:val="center"/>
      </w:pPr>
      <w:r>
        <w:t xml:space="preserve">65 </w:t>
      </w:r>
      <w:r w:rsidR="00E4306F">
        <w:t>§</w:t>
      </w:r>
    </w:p>
    <w:p w14:paraId="7304A3CE" w14:textId="77777777" w:rsidR="00E4306F" w:rsidRDefault="00E4306F" w:rsidP="00E4306F">
      <w:pPr>
        <w:pStyle w:val="Eivli"/>
        <w:jc w:val="center"/>
        <w:rPr>
          <w:i/>
        </w:rPr>
      </w:pPr>
      <w:r>
        <w:rPr>
          <w:i/>
        </w:rPr>
        <w:t>Neuvottelukunnan kokoukset ja päätösvaltaisuus</w:t>
      </w:r>
    </w:p>
    <w:p w14:paraId="140D0FAC" w14:textId="77777777" w:rsidR="00E4306F" w:rsidRDefault="00E4306F" w:rsidP="00E4306F">
      <w:pPr>
        <w:pStyle w:val="Eivli"/>
      </w:pPr>
    </w:p>
    <w:p w14:paraId="541EFA4C" w14:textId="2164F799" w:rsidR="00E4306F" w:rsidRDefault="008572AD" w:rsidP="00E4306F">
      <w:pPr>
        <w:pStyle w:val="Eivli"/>
      </w:pPr>
      <w:r>
        <w:t>Säteilyturvallisuusn</w:t>
      </w:r>
      <w:r w:rsidR="00E4306F" w:rsidRPr="00A9254A">
        <w:t>euvottelukunta kokoontuu puheenjohtajan tai hänen estyneenä ollessaan varapuheenjohtajan kutsusta sekä silloin, kun vähintään kaksi jäsenistä on sitä ilmoittamansa asian käsittelyä varten kirjallise</w:t>
      </w:r>
      <w:r w:rsidR="00E4306F">
        <w:t>sti pyytänyt.</w:t>
      </w:r>
    </w:p>
    <w:p w14:paraId="43751405" w14:textId="77777777" w:rsidR="00E4306F" w:rsidRDefault="00E4306F" w:rsidP="00E4306F">
      <w:pPr>
        <w:pStyle w:val="Eivli"/>
      </w:pPr>
    </w:p>
    <w:p w14:paraId="7D8DD88F" w14:textId="77777777" w:rsidR="00E4306F" w:rsidRDefault="00E4306F" w:rsidP="00E4306F">
      <w:pPr>
        <w:pStyle w:val="Eivli"/>
      </w:pPr>
      <w:r w:rsidRPr="00A9254A">
        <w:lastRenderedPageBreak/>
        <w:t>Neuvottelukunta on päätösvaltainen, kun läsnä on vähintään puolet jäsenistä ja läsnä on joko puheenjohtaja tai varapuheenjohtaja.</w:t>
      </w:r>
    </w:p>
    <w:p w14:paraId="45B9D07F" w14:textId="77777777" w:rsidR="00E4306F" w:rsidRDefault="00E4306F" w:rsidP="00E4306F">
      <w:pPr>
        <w:pStyle w:val="Eivli"/>
      </w:pPr>
    </w:p>
    <w:p w14:paraId="04807D38" w14:textId="77777777" w:rsidR="00E4306F" w:rsidRDefault="00E4306F" w:rsidP="00E4306F">
      <w:pPr>
        <w:pStyle w:val="Eivli"/>
      </w:pPr>
    </w:p>
    <w:p w14:paraId="50508218" w14:textId="6C311BBB" w:rsidR="00E4306F" w:rsidRDefault="00C66DC3" w:rsidP="00E4306F">
      <w:pPr>
        <w:pStyle w:val="Eivli"/>
        <w:jc w:val="center"/>
      </w:pPr>
      <w:r>
        <w:t xml:space="preserve">66 </w:t>
      </w:r>
      <w:r w:rsidR="00E4306F">
        <w:t>§</w:t>
      </w:r>
    </w:p>
    <w:p w14:paraId="3B9BA7C3" w14:textId="77777777" w:rsidR="00E4306F" w:rsidRDefault="00E4306F" w:rsidP="00E4306F">
      <w:pPr>
        <w:pStyle w:val="Eivli"/>
        <w:jc w:val="center"/>
        <w:rPr>
          <w:i/>
        </w:rPr>
      </w:pPr>
      <w:r>
        <w:rPr>
          <w:i/>
        </w:rPr>
        <w:t>Sihteeristö</w:t>
      </w:r>
    </w:p>
    <w:p w14:paraId="5D7FC3E5" w14:textId="77777777" w:rsidR="00E4306F" w:rsidRDefault="00E4306F" w:rsidP="00E4306F">
      <w:pPr>
        <w:pStyle w:val="Eivli"/>
      </w:pPr>
    </w:p>
    <w:p w14:paraId="098B2327" w14:textId="6CED30EC" w:rsidR="00E4306F" w:rsidRDefault="008572AD" w:rsidP="00E4306F">
      <w:pPr>
        <w:pStyle w:val="Eivli"/>
      </w:pPr>
      <w:r>
        <w:t>Säteilyturvallisuusn</w:t>
      </w:r>
      <w:r w:rsidR="00E4306F" w:rsidRPr="00A9254A">
        <w:t>euvottelukunnalla voi olla yksi sivutoiminen pääsihteeri ja yksi muu sivutoiminen sihteeri, jotka Säteilyturvakeskus määrää tehtävään neuvottelukuntaa kuultuaan.</w:t>
      </w:r>
    </w:p>
    <w:p w14:paraId="39D0456B" w14:textId="77777777" w:rsidR="00E4306F" w:rsidRDefault="00E4306F" w:rsidP="00E4306F">
      <w:pPr>
        <w:pStyle w:val="Eivli"/>
      </w:pPr>
    </w:p>
    <w:p w14:paraId="0603E0D5" w14:textId="77777777" w:rsidR="00E4306F" w:rsidRDefault="00E4306F" w:rsidP="00E4306F">
      <w:pPr>
        <w:pStyle w:val="Eivli"/>
      </w:pPr>
    </w:p>
    <w:p w14:paraId="5DD4FF61" w14:textId="19B65E73" w:rsidR="00E4306F" w:rsidRDefault="00C66DC3" w:rsidP="00E4306F">
      <w:pPr>
        <w:pStyle w:val="Eivli"/>
        <w:jc w:val="center"/>
      </w:pPr>
      <w:r>
        <w:t xml:space="preserve">67 </w:t>
      </w:r>
      <w:r w:rsidR="00E4306F">
        <w:t>§</w:t>
      </w:r>
    </w:p>
    <w:p w14:paraId="4F560853" w14:textId="77777777" w:rsidR="00E4306F" w:rsidRDefault="00E4306F" w:rsidP="00E4306F">
      <w:pPr>
        <w:pStyle w:val="Eivli"/>
        <w:jc w:val="center"/>
      </w:pPr>
      <w:r>
        <w:rPr>
          <w:i/>
        </w:rPr>
        <w:t>Raportointi</w:t>
      </w:r>
    </w:p>
    <w:p w14:paraId="328A3B0F" w14:textId="77777777" w:rsidR="00E4306F" w:rsidRDefault="00E4306F" w:rsidP="00E4306F">
      <w:pPr>
        <w:pStyle w:val="Eivli"/>
      </w:pPr>
    </w:p>
    <w:p w14:paraId="6D086012" w14:textId="527E0F72" w:rsidR="00E4306F" w:rsidRPr="00A9254A" w:rsidRDefault="008572AD" w:rsidP="00E4306F">
      <w:pPr>
        <w:pStyle w:val="Eivli"/>
      </w:pPr>
      <w:r>
        <w:t>Säteilyturvallisuusn</w:t>
      </w:r>
      <w:r w:rsidR="002A1D3B" w:rsidRPr="002A1D3B">
        <w:t>euvottelukunta laatii sosiaali- ja terveysministeriölle raportin toiminnastaan toimikautensa päättyessä.</w:t>
      </w:r>
    </w:p>
    <w:p w14:paraId="755A8E18" w14:textId="77777777" w:rsidR="00E4306F" w:rsidRDefault="00E4306F" w:rsidP="00E4306F">
      <w:pPr>
        <w:pStyle w:val="Eivli"/>
      </w:pPr>
    </w:p>
    <w:p w14:paraId="3B472607" w14:textId="77777777" w:rsidR="002A1D3B" w:rsidRDefault="002A1D3B" w:rsidP="00E4306F">
      <w:pPr>
        <w:pStyle w:val="Eivli"/>
      </w:pPr>
    </w:p>
    <w:p w14:paraId="2E3315E0" w14:textId="77777777" w:rsidR="00E4306F" w:rsidRDefault="00E4306F" w:rsidP="00A9254A">
      <w:pPr>
        <w:pStyle w:val="Eivli"/>
      </w:pPr>
    </w:p>
    <w:p w14:paraId="2823AFB8" w14:textId="1F158FB3" w:rsidR="00F02D36" w:rsidRPr="002D3AAC" w:rsidRDefault="00F02D36" w:rsidP="00F02D36">
      <w:pPr>
        <w:pStyle w:val="Eivli"/>
      </w:pPr>
    </w:p>
    <w:p w14:paraId="768EDF90" w14:textId="04B43214" w:rsidR="0046672F" w:rsidRDefault="006014C3" w:rsidP="001E4250">
      <w:pPr>
        <w:pStyle w:val="Eivli"/>
        <w:jc w:val="center"/>
      </w:pPr>
      <w:r>
        <w:t xml:space="preserve">16 </w:t>
      </w:r>
      <w:r w:rsidR="0010469F">
        <w:t>luku</w:t>
      </w:r>
    </w:p>
    <w:p w14:paraId="527EE1C0" w14:textId="78ED1189" w:rsidR="0010469F" w:rsidRPr="001E4250" w:rsidRDefault="0010469F" w:rsidP="001E4250">
      <w:pPr>
        <w:pStyle w:val="Eivli"/>
        <w:jc w:val="center"/>
        <w:rPr>
          <w:b/>
        </w:rPr>
      </w:pPr>
      <w:r>
        <w:rPr>
          <w:b/>
        </w:rPr>
        <w:t>Voimaantulo</w:t>
      </w:r>
    </w:p>
    <w:p w14:paraId="22518B8C" w14:textId="77777777" w:rsidR="0010469F" w:rsidRDefault="0010469F" w:rsidP="001E4250">
      <w:pPr>
        <w:pStyle w:val="Eivli"/>
        <w:jc w:val="center"/>
      </w:pPr>
    </w:p>
    <w:p w14:paraId="230039FD" w14:textId="78AA0143" w:rsidR="00506342" w:rsidRDefault="0084382D" w:rsidP="00506342">
      <w:pPr>
        <w:pStyle w:val="Eivli"/>
        <w:jc w:val="center"/>
      </w:pPr>
      <w:r>
        <w:t>6</w:t>
      </w:r>
      <w:r w:rsidR="007423CE">
        <w:t>8</w:t>
      </w:r>
      <w:r>
        <w:t xml:space="preserve"> </w:t>
      </w:r>
      <w:r w:rsidR="00506342">
        <w:t>§</w:t>
      </w:r>
    </w:p>
    <w:p w14:paraId="4CBAEBD8" w14:textId="1866BF47" w:rsidR="00506342" w:rsidRDefault="00506342" w:rsidP="00506342">
      <w:pPr>
        <w:pStyle w:val="Eivli"/>
        <w:jc w:val="center"/>
        <w:rPr>
          <w:i/>
        </w:rPr>
      </w:pPr>
      <w:r>
        <w:rPr>
          <w:i/>
        </w:rPr>
        <w:t>Voimaantulo</w:t>
      </w:r>
    </w:p>
    <w:p w14:paraId="192E184B" w14:textId="77777777" w:rsidR="00506342" w:rsidRDefault="00506342" w:rsidP="00506342">
      <w:pPr>
        <w:pStyle w:val="Eivli"/>
      </w:pPr>
    </w:p>
    <w:p w14:paraId="38C4CBF4" w14:textId="5B21DD36" w:rsidR="00506342" w:rsidRDefault="00506342" w:rsidP="00506342">
      <w:pPr>
        <w:pStyle w:val="Eivli"/>
      </w:pPr>
      <w:r>
        <w:t>Tämä asetus tulee voimaan    päivänä    kuuta   20</w:t>
      </w:r>
      <w:r w:rsidR="00BF7E4E">
        <w:t xml:space="preserve">    </w:t>
      </w:r>
      <w:r w:rsidR="00E4306F">
        <w:t>.</w:t>
      </w:r>
    </w:p>
    <w:p w14:paraId="70D11C37" w14:textId="77777777" w:rsidR="00506342" w:rsidRDefault="00506342" w:rsidP="00506342">
      <w:pPr>
        <w:pStyle w:val="Eivli"/>
      </w:pPr>
    </w:p>
    <w:p w14:paraId="2EB60EDB" w14:textId="77777777" w:rsidR="00506342" w:rsidRDefault="00506342" w:rsidP="0046672F">
      <w:pPr>
        <w:pStyle w:val="Eivli"/>
      </w:pPr>
    </w:p>
    <w:p w14:paraId="58D4DF3D" w14:textId="48CA5ABC" w:rsidR="00506442" w:rsidRDefault="00506442">
      <w:r>
        <w:br w:type="page"/>
      </w:r>
    </w:p>
    <w:p w14:paraId="1607C7E0" w14:textId="77777777" w:rsidR="00506342" w:rsidRDefault="00506342" w:rsidP="0046672F">
      <w:pPr>
        <w:pStyle w:val="Eivli"/>
      </w:pPr>
    </w:p>
    <w:p w14:paraId="331562E4" w14:textId="65833078" w:rsidR="001B2972" w:rsidRPr="00C779C2" w:rsidRDefault="00C779C2" w:rsidP="00C779C2">
      <w:pPr>
        <w:pStyle w:val="Otsikko1"/>
      </w:pPr>
      <w:r>
        <w:t>LIITE 1</w:t>
      </w:r>
    </w:p>
    <w:p w14:paraId="567F8C4F" w14:textId="421D697C" w:rsidR="001B2972" w:rsidRPr="00BB62D5" w:rsidRDefault="00C779C2" w:rsidP="001B2972">
      <w:pPr>
        <w:spacing w:after="0" w:line="240" w:lineRule="auto"/>
        <w:rPr>
          <w:rFonts w:eastAsiaTheme="minorHAnsi" w:cstheme="minorHAnsi"/>
          <w:b/>
          <w:iCs/>
        </w:rPr>
      </w:pPr>
      <w:r w:rsidRPr="00BB62D5">
        <w:rPr>
          <w:rFonts w:eastAsiaTheme="minorHAnsi" w:cstheme="minorHAnsi"/>
          <w:b/>
          <w:iCs/>
        </w:rPr>
        <w:t xml:space="preserve">SÄTEILYALTISTUKSEN MÄÄRITTÄMISEEN KÄYTETTÄVIÄ SUUREITA </w:t>
      </w:r>
    </w:p>
    <w:p w14:paraId="39CE8051" w14:textId="77777777" w:rsidR="00C779C2" w:rsidRPr="001B2972" w:rsidRDefault="00C779C2" w:rsidP="001B2972">
      <w:pPr>
        <w:spacing w:after="0" w:line="240" w:lineRule="auto"/>
        <w:rPr>
          <w:rFonts w:eastAsiaTheme="minorHAnsi" w:cstheme="minorHAnsi"/>
          <w:iCs/>
        </w:rPr>
      </w:pPr>
    </w:p>
    <w:p w14:paraId="7636977A" w14:textId="77777777" w:rsidR="001B2972" w:rsidRPr="001B2972" w:rsidRDefault="001B2972" w:rsidP="001B2972">
      <w:pPr>
        <w:spacing w:after="0" w:line="240" w:lineRule="auto"/>
        <w:rPr>
          <w:rFonts w:eastAsiaTheme="minorHAnsi" w:cstheme="minorHAnsi"/>
          <w:iCs/>
        </w:rPr>
      </w:pPr>
      <w:r w:rsidRPr="001B2972">
        <w:rPr>
          <w:rFonts w:eastAsiaTheme="minorHAnsi" w:cstheme="minorHAnsi"/>
          <w:iCs/>
        </w:rPr>
        <w:t xml:space="preserve">Säteilyaltistuksen määrittämiseen käytettäviä suureita ovat </w:t>
      </w:r>
      <w:r w:rsidRPr="001B2972">
        <w:rPr>
          <w:rFonts w:eastAsiaTheme="minorHAnsi" w:cstheme="minorHAnsi"/>
          <w:bCs/>
          <w:iCs/>
        </w:rPr>
        <w:t>mittayksiköistä annetussa valtioneuvoston asetuksessa (1015/2014) tarkoitetun absorboituneen annoksen, annosekvivalentin ja aktiivisuuden lisäksi:</w:t>
      </w:r>
    </w:p>
    <w:p w14:paraId="275E08ED" w14:textId="77777777" w:rsidR="001B2972" w:rsidRPr="001B2972" w:rsidRDefault="001B2972" w:rsidP="00624C57">
      <w:pPr>
        <w:numPr>
          <w:ilvl w:val="0"/>
          <w:numId w:val="39"/>
        </w:numPr>
        <w:spacing w:after="0" w:line="240" w:lineRule="auto"/>
        <w:jc w:val="both"/>
        <w:rPr>
          <w:rFonts w:eastAsiaTheme="minorHAnsi" w:cstheme="minorHAnsi"/>
        </w:rPr>
      </w:pPr>
      <w:r w:rsidRPr="001B2972">
        <w:rPr>
          <w:rFonts w:eastAsiaTheme="minorHAnsi" w:cstheme="minorHAnsi"/>
          <w:i/>
          <w:iCs/>
        </w:rPr>
        <w:t xml:space="preserve">absorboituneen annoksen nopeus </w:t>
      </w:r>
      <w:r w:rsidR="00D17A57" w:rsidRPr="00D17A57">
        <w:rPr>
          <w:rFonts w:eastAsiaTheme="minorHAnsi" w:cstheme="minorHAnsi"/>
          <w:b/>
          <w:position w:val="-4"/>
        </w:rPr>
        <w:object w:dxaOrig="260" w:dyaOrig="300" w14:anchorId="4E9C8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13.15pt" o:ole="" fillcolor="window">
            <v:imagedata r:id="rId12" o:title=""/>
          </v:shape>
          <o:OLEObject Type="Embed" ProgID="Equation.3" ShapeID="_x0000_i1025" DrawAspect="Content" ObjectID="_1562583937" r:id="rId13"/>
        </w:object>
      </w:r>
      <w:r w:rsidRPr="001B2972">
        <w:rPr>
          <w:rFonts w:eastAsiaTheme="minorHAnsi" w:cstheme="minorHAnsi"/>
          <w:b/>
        </w:rPr>
        <w:t xml:space="preserve">, </w:t>
      </w:r>
      <w:r w:rsidRPr="001B2972">
        <w:rPr>
          <w:rFonts w:eastAsiaTheme="minorHAnsi" w:cstheme="minorHAnsi"/>
        </w:rPr>
        <w:t xml:space="preserve">jolla tarkoitetaan tietyllä aikavälillä tapahtuvan absorboituneen annoksen lisäyksen </w:t>
      </w:r>
      <w:r w:rsidR="00D17A57" w:rsidRPr="00D17A57">
        <w:rPr>
          <w:rFonts w:eastAsiaTheme="minorHAnsi" w:cstheme="minorHAnsi"/>
          <w:b/>
          <w:position w:val="-10"/>
        </w:rPr>
        <w:object w:dxaOrig="440" w:dyaOrig="320" w14:anchorId="673A5A6C">
          <v:shape id="_x0000_i1026" type="#_x0000_t75" style="width:20.05pt;height:14.4pt" o:ole="" fillcolor="window">
            <v:imagedata r:id="rId14" o:title=""/>
          </v:shape>
          <o:OLEObject Type="Embed" ProgID="Equation.3" ShapeID="_x0000_i1026" DrawAspect="Content" ObjectID="_1562583938" r:id="rId15"/>
        </w:object>
      </w:r>
      <w:r w:rsidRPr="001B2972">
        <w:rPr>
          <w:rFonts w:eastAsiaTheme="minorHAnsi" w:cstheme="minorHAnsi"/>
        </w:rPr>
        <w:t xml:space="preserve">ja tämän aikavälin </w:t>
      </w:r>
      <w:r w:rsidR="00D17A57" w:rsidRPr="00D17A57">
        <w:rPr>
          <w:rFonts w:eastAsiaTheme="minorHAnsi" w:cstheme="minorHAnsi"/>
          <w:b/>
          <w:position w:val="-10"/>
        </w:rPr>
        <w:object w:dxaOrig="300" w:dyaOrig="320" w14:anchorId="44ABC62A">
          <v:shape id="_x0000_i1027" type="#_x0000_t75" style="width:13.75pt;height:14.4pt" o:ole="" fillcolor="window">
            <v:imagedata r:id="rId16" o:title=""/>
          </v:shape>
          <o:OLEObject Type="Embed" ProgID="Equation.3" ShapeID="_x0000_i1027" DrawAspect="Content" ObjectID="_1562583939" r:id="rId17"/>
        </w:object>
      </w:r>
      <w:r w:rsidRPr="001B2972">
        <w:rPr>
          <w:rFonts w:eastAsiaTheme="minorHAnsi" w:cstheme="minorHAnsi"/>
        </w:rPr>
        <w:t>osamäärää:</w:t>
      </w:r>
    </w:p>
    <w:p w14:paraId="5D892B43" w14:textId="77777777" w:rsidR="001B2972" w:rsidRPr="001B2972" w:rsidRDefault="001B2972" w:rsidP="001B2972">
      <w:pPr>
        <w:spacing w:after="0" w:line="240" w:lineRule="auto"/>
        <w:ind w:left="720"/>
        <w:jc w:val="both"/>
        <w:rPr>
          <w:rFonts w:eastAsiaTheme="minorHAnsi" w:cstheme="minorHAnsi"/>
        </w:rPr>
      </w:pPr>
    </w:p>
    <w:p w14:paraId="724D87E6" w14:textId="77777777" w:rsidR="001B2972" w:rsidRPr="001B2972" w:rsidRDefault="001B2972" w:rsidP="001B2972">
      <w:pPr>
        <w:spacing w:after="0" w:line="240" w:lineRule="auto"/>
        <w:ind w:left="720"/>
        <w:jc w:val="both"/>
        <w:rPr>
          <w:rFonts w:eastAsiaTheme="minorHAnsi" w:cstheme="minorHAnsi"/>
          <w:b/>
        </w:rPr>
      </w:pPr>
      <w:r w:rsidRPr="001B2972">
        <w:rPr>
          <w:rFonts w:eastAsiaTheme="minorHAnsi" w:cstheme="minorHAnsi"/>
          <w:b/>
        </w:rPr>
        <w:object w:dxaOrig="859" w:dyaOrig="620" w14:anchorId="0CDE0670">
          <v:shape id="_x0000_i1028" type="#_x0000_t75" style="width:37.55pt;height:27.55pt" o:ole="" fillcolor="window">
            <v:imagedata r:id="rId18" o:title=""/>
          </v:shape>
          <o:OLEObject Type="Embed" ProgID="Equation.3" ShapeID="_x0000_i1028" DrawAspect="Content" ObjectID="_1562583940" r:id="rId19"/>
        </w:object>
      </w:r>
      <w:r w:rsidRPr="001B2972">
        <w:rPr>
          <w:rFonts w:eastAsiaTheme="minorHAnsi" w:cstheme="minorHAnsi"/>
          <w:b/>
        </w:rPr>
        <w:t xml:space="preserve">, </w:t>
      </w:r>
      <w:r w:rsidRPr="001B2972">
        <w:rPr>
          <w:rFonts w:eastAsiaTheme="minorHAnsi" w:cstheme="minorHAnsi"/>
        </w:rPr>
        <w:t>missä</w:t>
      </w:r>
    </w:p>
    <w:p w14:paraId="2363653D" w14:textId="154DD1EC" w:rsidR="001B2972" w:rsidRPr="001B2972" w:rsidRDefault="001B2972" w:rsidP="00A24A03">
      <w:pPr>
        <w:spacing w:after="0" w:line="240" w:lineRule="auto"/>
        <w:ind w:left="720"/>
        <w:jc w:val="both"/>
        <w:rPr>
          <w:rFonts w:eastAsiaTheme="minorHAnsi" w:cstheme="minorHAnsi"/>
        </w:rPr>
      </w:pPr>
      <w:r w:rsidRPr="001B2972">
        <w:rPr>
          <w:rFonts w:eastAsiaTheme="minorHAnsi" w:cstheme="minorHAnsi"/>
        </w:rPr>
        <w:t xml:space="preserve">absorboitunut annos D on ionisoivasta säteilystä aineen äärettömän pieneen massa-alkioon dm siirtynyt keskimääräinen aineeseen siirtynyt energia </w:t>
      </w:r>
      <w:r w:rsidR="00CE4EB8" w:rsidRPr="00CE4EB8">
        <w:rPr>
          <w:rFonts w:eastAsiaTheme="minorHAnsi" w:cstheme="minorHAnsi"/>
          <w:position w:val="-6"/>
        </w:rPr>
        <w:object w:dxaOrig="340" w:dyaOrig="279" w14:anchorId="3CA9AD9C">
          <v:shape id="_x0000_i1029" type="#_x0000_t75" style="width:18.8pt;height:14.4pt" o:ole="" fillcolor="window">
            <v:imagedata r:id="rId20" o:title=""/>
          </v:shape>
          <o:OLEObject Type="Embed" ProgID="Equation.3" ShapeID="_x0000_i1029" DrawAspect="Content" ObjectID="_1562583941" r:id="rId21"/>
        </w:object>
      </w:r>
      <w:r w:rsidRPr="001B2972">
        <w:rPr>
          <w:rFonts w:eastAsiaTheme="minorHAnsi" w:cstheme="minorHAnsi"/>
        </w:rPr>
        <w:t xml:space="preserve"> massayksikköä kohti:</w:t>
      </w:r>
    </w:p>
    <w:p w14:paraId="372F912E" w14:textId="77777777" w:rsidR="001B2972" w:rsidRPr="001B2972" w:rsidRDefault="001B2972" w:rsidP="001B2972">
      <w:pPr>
        <w:spacing w:after="0" w:line="240" w:lineRule="auto"/>
        <w:ind w:left="720"/>
        <w:jc w:val="both"/>
        <w:rPr>
          <w:rFonts w:eastAsiaTheme="minorHAnsi" w:cstheme="minorHAnsi"/>
        </w:rPr>
      </w:pPr>
    </w:p>
    <w:p w14:paraId="36E15825" w14:textId="77777777" w:rsidR="001B2972" w:rsidRPr="001B2972" w:rsidRDefault="001B2972" w:rsidP="001B2972">
      <w:pPr>
        <w:spacing w:after="0" w:line="240" w:lineRule="auto"/>
        <w:ind w:left="720"/>
        <w:jc w:val="both"/>
        <w:rPr>
          <w:rFonts w:eastAsiaTheme="minorHAnsi" w:cstheme="minorHAnsi"/>
        </w:rPr>
      </w:pPr>
      <w:r w:rsidRPr="001B2972">
        <w:rPr>
          <w:rFonts w:eastAsiaTheme="minorHAnsi" w:cstheme="minorHAnsi"/>
        </w:rPr>
        <w:object w:dxaOrig="859" w:dyaOrig="639" w14:anchorId="547618FB">
          <v:shape id="_x0000_i1030" type="#_x0000_t75" style="width:37.55pt;height:27.55pt" o:ole="" fillcolor="window">
            <v:imagedata r:id="rId22" o:title=""/>
          </v:shape>
          <o:OLEObject Type="Embed" ProgID="Equation.3" ShapeID="_x0000_i1030" DrawAspect="Content" ObjectID="_1562583942" r:id="rId23"/>
        </w:object>
      </w:r>
      <w:r w:rsidRPr="001B2972">
        <w:rPr>
          <w:rFonts w:eastAsiaTheme="minorHAnsi" w:cstheme="minorHAnsi"/>
        </w:rPr>
        <w:tab/>
      </w:r>
      <w:r w:rsidRPr="001B2972">
        <w:rPr>
          <w:rFonts w:eastAsiaTheme="minorHAnsi" w:cstheme="minorHAnsi"/>
        </w:rPr>
        <w:tab/>
      </w:r>
      <w:r w:rsidRPr="001B2972">
        <w:rPr>
          <w:rFonts w:eastAsiaTheme="minorHAnsi" w:cstheme="minorHAnsi"/>
        </w:rPr>
        <w:tab/>
      </w:r>
      <w:r w:rsidRPr="001B2972">
        <w:rPr>
          <w:rFonts w:eastAsiaTheme="minorHAnsi" w:cstheme="minorHAnsi"/>
        </w:rPr>
        <w:tab/>
      </w:r>
      <w:r w:rsidRPr="001B2972">
        <w:rPr>
          <w:rFonts w:eastAsiaTheme="minorHAnsi" w:cstheme="minorHAnsi"/>
        </w:rPr>
        <w:tab/>
      </w:r>
    </w:p>
    <w:p w14:paraId="7DFF5363" w14:textId="77777777" w:rsidR="001B2972" w:rsidRPr="001B2972" w:rsidRDefault="001B2972" w:rsidP="001B2972">
      <w:pPr>
        <w:spacing w:after="0" w:line="240" w:lineRule="auto"/>
        <w:ind w:left="1304"/>
        <w:jc w:val="both"/>
        <w:rPr>
          <w:rFonts w:eastAsiaTheme="minorHAnsi" w:cstheme="minorHAnsi"/>
        </w:rPr>
      </w:pPr>
    </w:p>
    <w:p w14:paraId="472EF5E6" w14:textId="77777777" w:rsidR="001B2972" w:rsidRPr="001B2972" w:rsidRDefault="001B2972" w:rsidP="00624C57">
      <w:pPr>
        <w:numPr>
          <w:ilvl w:val="0"/>
          <w:numId w:val="39"/>
        </w:numPr>
        <w:spacing w:after="0" w:line="240" w:lineRule="auto"/>
        <w:jc w:val="both"/>
        <w:rPr>
          <w:rFonts w:eastAsiaTheme="minorHAnsi" w:cstheme="minorHAnsi"/>
        </w:rPr>
      </w:pPr>
      <w:r w:rsidRPr="001B2972">
        <w:rPr>
          <w:rFonts w:eastAsiaTheme="minorHAnsi" w:cstheme="minorHAnsi"/>
          <w:i/>
          <w:iCs/>
        </w:rPr>
        <w:t>kudoksen tai elimen T keskimääräinen absorboitunut annos</w:t>
      </w:r>
      <w:r w:rsidRPr="001B2972">
        <w:rPr>
          <w:rFonts w:eastAsiaTheme="minorHAnsi" w:cstheme="minorHAnsi"/>
        </w:rPr>
        <w:t xml:space="preserve"> </w:t>
      </w:r>
      <w:r w:rsidRPr="001B2972">
        <w:rPr>
          <w:rFonts w:eastAsiaTheme="minorHAnsi" w:cstheme="minorHAnsi"/>
          <w:i/>
          <w:iCs/>
        </w:rPr>
        <w:t>D</w:t>
      </w:r>
      <w:r w:rsidRPr="001B2972">
        <w:rPr>
          <w:rFonts w:eastAsiaTheme="minorHAnsi" w:cstheme="minorHAnsi"/>
          <w:i/>
          <w:iCs/>
          <w:vertAlign w:val="subscript"/>
        </w:rPr>
        <w:t>T</w:t>
      </w:r>
      <w:r w:rsidRPr="001B2972">
        <w:rPr>
          <w:rFonts w:eastAsiaTheme="minorHAnsi" w:cstheme="minorHAnsi"/>
        </w:rPr>
        <w:t xml:space="preserve"> , jolla tarkoitetaan ionisoivasta säteilystä kudokseen tai elimeen siirtynyttä kokonaisenergiaa </w:t>
      </w:r>
      <w:r w:rsidRPr="001B2972">
        <w:rPr>
          <w:rFonts w:ascii="Symbol" w:eastAsiaTheme="minorHAnsi" w:hAnsi="Symbol" w:cs="Symbol"/>
          <w:i/>
          <w:iCs/>
          <w:spacing w:val="-2"/>
          <w:szCs w:val="24"/>
        </w:rPr>
        <w:t></w:t>
      </w:r>
      <w:r w:rsidRPr="001B2972">
        <w:rPr>
          <w:rFonts w:eastAsiaTheme="minorHAnsi" w:cstheme="minorHAnsi"/>
          <w:i/>
          <w:iCs/>
          <w:vertAlign w:val="subscript"/>
        </w:rPr>
        <w:t>T</w:t>
      </w:r>
      <w:r w:rsidRPr="001B2972">
        <w:rPr>
          <w:rFonts w:eastAsiaTheme="minorHAnsi" w:cstheme="minorHAnsi"/>
          <w:i/>
          <w:iCs/>
        </w:rPr>
        <w:t xml:space="preserve"> </w:t>
      </w:r>
      <w:r w:rsidRPr="001B2972">
        <w:rPr>
          <w:rFonts w:eastAsiaTheme="minorHAnsi" w:cstheme="minorHAnsi"/>
        </w:rPr>
        <w:t xml:space="preserve">jaettuna kudoksen tai elimen massalla </w:t>
      </w:r>
      <w:r w:rsidRPr="001B2972">
        <w:rPr>
          <w:rFonts w:eastAsiaTheme="minorHAnsi" w:cstheme="minorHAnsi"/>
          <w:i/>
          <w:iCs/>
        </w:rPr>
        <w:t>m</w:t>
      </w:r>
      <w:r w:rsidRPr="001B2972">
        <w:rPr>
          <w:rFonts w:eastAsiaTheme="minorHAnsi" w:cstheme="minorHAnsi"/>
          <w:i/>
          <w:iCs/>
          <w:vertAlign w:val="subscript"/>
        </w:rPr>
        <w:t>T</w:t>
      </w:r>
      <w:r w:rsidRPr="001B2972">
        <w:rPr>
          <w:rFonts w:eastAsiaTheme="minorHAnsi" w:cstheme="minorHAnsi"/>
        </w:rPr>
        <w:t xml:space="preserve"> :</w:t>
      </w:r>
    </w:p>
    <w:p w14:paraId="6F9C58D6" w14:textId="77777777" w:rsidR="001B2972" w:rsidRPr="001B2972" w:rsidRDefault="001B2972" w:rsidP="001B2972">
      <w:pPr>
        <w:spacing w:after="0" w:line="240" w:lineRule="auto"/>
        <w:ind w:left="720"/>
        <w:jc w:val="both"/>
        <w:rPr>
          <w:rFonts w:eastAsiaTheme="minorHAnsi" w:cstheme="minorHAnsi"/>
        </w:rPr>
      </w:pPr>
      <w:r w:rsidRPr="001B2972">
        <w:rPr>
          <w:rFonts w:eastAsiaTheme="minorHAnsi" w:cstheme="minorHAnsi"/>
        </w:rPr>
        <w:object w:dxaOrig="980" w:dyaOrig="700" w14:anchorId="51A930D2">
          <v:shape id="_x0000_i1031" type="#_x0000_t75" style="width:48.85pt;height:36.95pt" o:ole="">
            <v:imagedata r:id="rId24" o:title=""/>
          </v:shape>
          <o:OLEObject Type="Embed" ProgID="Equation.3" ShapeID="_x0000_i1031" DrawAspect="Content" ObjectID="_1562583943" r:id="rId25"/>
        </w:object>
      </w:r>
      <w:r w:rsidRPr="001B2972">
        <w:rPr>
          <w:rFonts w:eastAsiaTheme="minorHAnsi" w:cstheme="minorHAnsi"/>
        </w:rPr>
        <w:tab/>
      </w:r>
      <w:r w:rsidRPr="001B2972">
        <w:rPr>
          <w:rFonts w:eastAsiaTheme="minorHAnsi" w:cstheme="minorHAnsi"/>
        </w:rPr>
        <w:tab/>
      </w:r>
      <w:r w:rsidRPr="001B2972">
        <w:rPr>
          <w:rFonts w:eastAsiaTheme="minorHAnsi" w:cstheme="minorHAnsi"/>
        </w:rPr>
        <w:tab/>
      </w:r>
      <w:r w:rsidRPr="001B2972">
        <w:rPr>
          <w:rFonts w:eastAsiaTheme="minorHAnsi" w:cstheme="minorHAnsi"/>
        </w:rPr>
        <w:tab/>
      </w:r>
    </w:p>
    <w:p w14:paraId="5C08F33D" w14:textId="77777777" w:rsidR="001B2972" w:rsidRPr="001B2972" w:rsidRDefault="001B2972" w:rsidP="00624C57">
      <w:pPr>
        <w:numPr>
          <w:ilvl w:val="0"/>
          <w:numId w:val="39"/>
        </w:numPr>
        <w:spacing w:after="0" w:line="240" w:lineRule="auto"/>
        <w:jc w:val="both"/>
        <w:rPr>
          <w:rFonts w:eastAsiaTheme="minorHAnsi" w:cstheme="minorHAnsi"/>
        </w:rPr>
      </w:pPr>
      <w:r w:rsidRPr="001B2972">
        <w:rPr>
          <w:rFonts w:eastAsiaTheme="minorHAnsi" w:cstheme="minorHAnsi"/>
          <w:i/>
          <w:iCs/>
        </w:rPr>
        <w:t>k</w:t>
      </w:r>
      <w:r w:rsidRPr="001B2972">
        <w:rPr>
          <w:rFonts w:eastAsiaTheme="minorHAnsi" w:cstheme="minorHAnsi"/>
          <w:i/>
        </w:rPr>
        <w:t>udoksen tai elimen T</w:t>
      </w:r>
      <w:r w:rsidRPr="001B2972">
        <w:rPr>
          <w:rFonts w:eastAsiaTheme="minorHAnsi" w:cstheme="minorHAnsi"/>
        </w:rPr>
        <w:t xml:space="preserve"> </w:t>
      </w:r>
      <w:r w:rsidRPr="001B2972">
        <w:rPr>
          <w:rFonts w:eastAsiaTheme="minorHAnsi" w:cstheme="minorHAnsi"/>
          <w:i/>
        </w:rPr>
        <w:t>ekvivalenttiannos H</w:t>
      </w:r>
      <w:r w:rsidRPr="001B2972">
        <w:rPr>
          <w:rFonts w:eastAsiaTheme="minorHAnsi" w:cstheme="minorHAnsi"/>
          <w:i/>
          <w:vertAlign w:val="subscript"/>
        </w:rPr>
        <w:t xml:space="preserve">T </w:t>
      </w:r>
      <w:r w:rsidRPr="001B2972">
        <w:rPr>
          <w:rFonts w:eastAsiaTheme="minorHAnsi" w:cstheme="minorHAnsi"/>
        </w:rPr>
        <w:t xml:space="preserve">, jolla tarkoitetaan säteilyn painotuskertoimella </w:t>
      </w:r>
      <w:r w:rsidRPr="001B2972">
        <w:rPr>
          <w:rFonts w:eastAsiaTheme="minorHAnsi" w:cstheme="minorHAnsi"/>
          <w:i/>
        </w:rPr>
        <w:t>w</w:t>
      </w:r>
      <w:r w:rsidRPr="001B2972">
        <w:rPr>
          <w:rFonts w:eastAsiaTheme="minorHAnsi" w:cstheme="minorHAnsi"/>
          <w:i/>
          <w:vertAlign w:val="subscript"/>
        </w:rPr>
        <w:t>R</w:t>
      </w:r>
      <w:r w:rsidRPr="001B2972">
        <w:rPr>
          <w:rFonts w:eastAsiaTheme="minorHAnsi" w:cstheme="minorHAnsi"/>
        </w:rPr>
        <w:t xml:space="preserve"> kerrottujen kudosten tai elinten keskimääräisten absorboituneiden annosten D</w:t>
      </w:r>
      <w:r w:rsidRPr="001B2972">
        <w:rPr>
          <w:rFonts w:eastAsiaTheme="minorHAnsi" w:cstheme="minorHAnsi"/>
          <w:vertAlign w:val="subscript"/>
        </w:rPr>
        <w:t>T,R</w:t>
      </w:r>
      <w:r w:rsidRPr="001B2972">
        <w:rPr>
          <w:rFonts w:eastAsiaTheme="minorHAnsi" w:cstheme="minorHAnsi"/>
        </w:rPr>
        <w:t xml:space="preserve"> summaa:</w:t>
      </w:r>
    </w:p>
    <w:p w14:paraId="5E6861C5" w14:textId="77777777" w:rsidR="001B2972" w:rsidRPr="001B2972" w:rsidRDefault="001B2972" w:rsidP="001B2972">
      <w:pPr>
        <w:spacing w:after="0" w:line="240" w:lineRule="auto"/>
        <w:ind w:left="1304"/>
        <w:jc w:val="both"/>
        <w:rPr>
          <w:rFonts w:eastAsiaTheme="minorHAnsi" w:cstheme="minorHAnsi"/>
        </w:rPr>
      </w:pPr>
    </w:p>
    <w:p w14:paraId="657BB102" w14:textId="77777777" w:rsidR="001B2972" w:rsidRPr="001B2972" w:rsidRDefault="001B2972" w:rsidP="001B2972">
      <w:pPr>
        <w:spacing w:after="0" w:line="240" w:lineRule="auto"/>
        <w:ind w:left="1304"/>
        <w:jc w:val="both"/>
        <w:rPr>
          <w:rFonts w:eastAsiaTheme="minorHAnsi" w:cstheme="minorHAnsi"/>
        </w:rPr>
      </w:pPr>
      <w:r w:rsidRPr="001B2972">
        <w:rPr>
          <w:rFonts w:eastAsiaTheme="minorHAnsi" w:cstheme="minorHAnsi"/>
        </w:rPr>
        <w:tab/>
      </w:r>
    </w:p>
    <w:p w14:paraId="55428FE3" w14:textId="77777777" w:rsidR="001B2972" w:rsidRPr="001B2972" w:rsidRDefault="009F56F8" w:rsidP="001B2972">
      <w:pPr>
        <w:spacing w:after="0" w:line="240" w:lineRule="auto"/>
        <w:ind w:left="720"/>
        <w:jc w:val="both"/>
        <w:rPr>
          <w:rFonts w:eastAsiaTheme="minorHAnsi" w:cstheme="minorHAnsi"/>
        </w:rPr>
      </w:pPr>
      <m:oMath>
        <m:sSub>
          <m:sSubPr>
            <m:ctrlPr>
              <w:rPr>
                <w:rFonts w:ascii="Cambria Math" w:eastAsiaTheme="minorHAnsi" w:hAnsi="Cambria Math" w:cstheme="minorHAnsi"/>
                <w:i/>
              </w:rPr>
            </m:ctrlPr>
          </m:sSubPr>
          <m:e>
            <m:r>
              <w:rPr>
                <w:rFonts w:ascii="Cambria Math" w:eastAsiaTheme="minorHAnsi" w:hAnsi="Cambria Math" w:cstheme="minorHAnsi"/>
              </w:rPr>
              <m:t>H</m:t>
            </m:r>
          </m:e>
          <m:sub>
            <m:r>
              <w:rPr>
                <w:rFonts w:ascii="Cambria Math" w:eastAsiaTheme="minorHAnsi" w:hAnsi="Cambria Math" w:cstheme="minorHAnsi"/>
              </w:rPr>
              <m:t>T</m:t>
            </m:r>
          </m:sub>
        </m:sSub>
        <m:r>
          <w:rPr>
            <w:rFonts w:ascii="Cambria Math" w:eastAsiaTheme="minorHAnsi" w:hAnsi="Cambria Math" w:cstheme="minorHAnsi"/>
          </w:rPr>
          <m:t>=</m:t>
        </m:r>
        <m:nary>
          <m:naryPr>
            <m:chr m:val="∑"/>
            <m:limLoc m:val="undOvr"/>
            <m:supHide m:val="1"/>
            <m:ctrlPr>
              <w:rPr>
                <w:rFonts w:ascii="Cambria Math" w:eastAsiaTheme="minorHAnsi" w:hAnsi="Cambria Math" w:cstheme="minorHAnsi"/>
                <w:i/>
              </w:rPr>
            </m:ctrlPr>
          </m:naryPr>
          <m:sub>
            <m:r>
              <w:rPr>
                <w:rFonts w:ascii="Cambria Math" w:eastAsiaTheme="minorHAnsi" w:hAnsi="Cambria Math" w:cstheme="minorHAnsi"/>
              </w:rPr>
              <m:t>R</m:t>
            </m:r>
          </m:sub>
          <m:sup/>
          <m:e>
            <m:sSub>
              <m:sSubPr>
                <m:ctrlPr>
                  <w:rPr>
                    <w:rFonts w:ascii="Cambria Math" w:eastAsiaTheme="minorHAnsi" w:hAnsi="Cambria Math" w:cstheme="minorHAnsi"/>
                    <w:i/>
                  </w:rPr>
                </m:ctrlPr>
              </m:sSubPr>
              <m:e>
                <m:r>
                  <w:rPr>
                    <w:rFonts w:ascii="Cambria Math" w:eastAsiaTheme="minorHAnsi" w:hAnsi="Cambria Math" w:cstheme="minorHAnsi"/>
                  </w:rPr>
                  <m:t>w</m:t>
                </m:r>
              </m:e>
              <m:sub>
                <m:r>
                  <w:rPr>
                    <w:rFonts w:ascii="Cambria Math" w:eastAsiaTheme="minorHAnsi" w:hAnsi="Cambria Math" w:cstheme="minorHAnsi"/>
                  </w:rPr>
                  <m:t>R</m:t>
                </m:r>
              </m:sub>
            </m:sSub>
            <m:sSub>
              <m:sSubPr>
                <m:ctrlPr>
                  <w:rPr>
                    <w:rFonts w:ascii="Cambria Math" w:eastAsiaTheme="minorHAnsi" w:hAnsi="Cambria Math" w:cstheme="minorHAnsi"/>
                    <w:i/>
                  </w:rPr>
                </m:ctrlPr>
              </m:sSubPr>
              <m:e>
                <m:r>
                  <w:rPr>
                    <w:rFonts w:ascii="Cambria Math" w:eastAsiaTheme="minorHAnsi" w:hAnsi="Cambria Math" w:cstheme="minorHAnsi"/>
                  </w:rPr>
                  <m:t>D</m:t>
                </m:r>
              </m:e>
              <m:sub>
                <m:r>
                  <w:rPr>
                    <w:rFonts w:ascii="Cambria Math" w:eastAsiaTheme="minorHAnsi" w:hAnsi="Cambria Math" w:cstheme="minorHAnsi"/>
                  </w:rPr>
                  <m:t>T,R</m:t>
                </m:r>
              </m:sub>
            </m:sSub>
          </m:e>
        </m:nary>
      </m:oMath>
      <w:r w:rsidR="001B2972" w:rsidRPr="001B2972">
        <w:rPr>
          <w:rFonts w:eastAsiaTheme="minorHAnsi" w:cstheme="minorHAnsi"/>
        </w:rPr>
        <w:t xml:space="preserve"> , missä</w:t>
      </w:r>
    </w:p>
    <w:p w14:paraId="7596E276" w14:textId="77777777" w:rsidR="001B2972" w:rsidRPr="001B2972" w:rsidRDefault="001B2972" w:rsidP="001B2972">
      <w:pPr>
        <w:spacing w:after="0" w:line="240" w:lineRule="auto"/>
        <w:ind w:left="720"/>
        <w:jc w:val="both"/>
        <w:rPr>
          <w:rFonts w:eastAsiaTheme="minorHAnsi" w:cstheme="minorHAnsi"/>
          <w:i/>
        </w:rPr>
      </w:pPr>
    </w:p>
    <w:p w14:paraId="387AB165" w14:textId="77777777" w:rsidR="001B2972" w:rsidRPr="001B2972" w:rsidRDefault="001B2972" w:rsidP="001B2972">
      <w:pPr>
        <w:spacing w:after="0" w:line="240" w:lineRule="auto"/>
        <w:ind w:left="720"/>
        <w:jc w:val="both"/>
        <w:rPr>
          <w:rFonts w:eastAsiaTheme="minorHAnsi" w:cstheme="minorHAnsi"/>
        </w:rPr>
      </w:pPr>
      <w:r w:rsidRPr="001B2972">
        <w:rPr>
          <w:rFonts w:eastAsiaTheme="minorHAnsi" w:cstheme="minorHAnsi"/>
          <w:i/>
        </w:rPr>
        <w:t>w</w:t>
      </w:r>
      <w:r w:rsidRPr="001B2972">
        <w:rPr>
          <w:rFonts w:eastAsiaTheme="minorHAnsi" w:cstheme="minorHAnsi"/>
          <w:i/>
          <w:vertAlign w:val="subscript"/>
        </w:rPr>
        <w:t>R</w:t>
      </w:r>
      <w:r w:rsidRPr="001B2972">
        <w:rPr>
          <w:rFonts w:eastAsiaTheme="minorHAnsi" w:cstheme="minorHAnsi"/>
        </w:rPr>
        <w:tab/>
        <w:t xml:space="preserve">on säteilyn painotuskerroin säteilylaadulle </w:t>
      </w:r>
      <w:r w:rsidRPr="001B2972">
        <w:rPr>
          <w:rFonts w:eastAsiaTheme="minorHAnsi" w:cstheme="minorHAnsi"/>
          <w:i/>
        </w:rPr>
        <w:t>R</w:t>
      </w:r>
    </w:p>
    <w:p w14:paraId="55F43227" w14:textId="77777777" w:rsidR="001B2972" w:rsidRPr="001B2972" w:rsidRDefault="001B2972" w:rsidP="001B2972">
      <w:pPr>
        <w:spacing w:after="0" w:line="240" w:lineRule="auto"/>
        <w:ind w:left="720"/>
        <w:jc w:val="both"/>
        <w:rPr>
          <w:rFonts w:eastAsiaTheme="minorHAnsi" w:cstheme="minorHAnsi"/>
        </w:rPr>
      </w:pPr>
      <w:r w:rsidRPr="001B2972">
        <w:rPr>
          <w:rFonts w:eastAsiaTheme="minorHAnsi" w:cstheme="minorHAnsi"/>
          <w:i/>
        </w:rPr>
        <w:t>D</w:t>
      </w:r>
      <w:r w:rsidRPr="001B2972">
        <w:rPr>
          <w:rFonts w:eastAsiaTheme="minorHAnsi" w:cstheme="minorHAnsi"/>
          <w:i/>
          <w:vertAlign w:val="subscript"/>
        </w:rPr>
        <w:t>T,R</w:t>
      </w:r>
      <w:r w:rsidRPr="001B2972">
        <w:rPr>
          <w:rFonts w:eastAsiaTheme="minorHAnsi" w:cstheme="minorHAnsi"/>
        </w:rPr>
        <w:tab/>
        <w:t xml:space="preserve">on säteilylaadusta </w:t>
      </w:r>
      <w:r w:rsidRPr="001B2972">
        <w:rPr>
          <w:rFonts w:eastAsiaTheme="minorHAnsi" w:cstheme="minorHAnsi"/>
          <w:i/>
        </w:rPr>
        <w:t>R</w:t>
      </w:r>
      <w:r w:rsidRPr="001B2972">
        <w:rPr>
          <w:rFonts w:eastAsiaTheme="minorHAnsi" w:cstheme="minorHAnsi"/>
        </w:rPr>
        <w:t xml:space="preserve"> aiheutuva, kudoksen tai elimen </w:t>
      </w:r>
      <w:r w:rsidRPr="001B2972">
        <w:rPr>
          <w:rFonts w:eastAsiaTheme="minorHAnsi" w:cstheme="minorHAnsi"/>
          <w:i/>
        </w:rPr>
        <w:t>T</w:t>
      </w:r>
      <w:r w:rsidRPr="001B2972">
        <w:rPr>
          <w:rFonts w:eastAsiaTheme="minorHAnsi" w:cstheme="minorHAnsi"/>
        </w:rPr>
        <w:t xml:space="preserve"> keskimääräinen absorboitunut annos.</w:t>
      </w:r>
    </w:p>
    <w:p w14:paraId="1434E06E" w14:textId="77777777" w:rsidR="001B2972" w:rsidRPr="001B2972" w:rsidRDefault="001B2972" w:rsidP="001B2972">
      <w:pPr>
        <w:spacing w:after="0" w:line="240" w:lineRule="auto"/>
        <w:ind w:left="720"/>
        <w:jc w:val="both"/>
        <w:rPr>
          <w:rFonts w:eastAsiaTheme="minorHAnsi" w:cstheme="minorHAnsi"/>
        </w:rPr>
      </w:pPr>
    </w:p>
    <w:p w14:paraId="4B92A2C5" w14:textId="77777777" w:rsidR="001B2972" w:rsidRPr="001B2972" w:rsidRDefault="001B2972" w:rsidP="001B2972">
      <w:pPr>
        <w:spacing w:after="0" w:line="240" w:lineRule="auto"/>
        <w:ind w:left="720"/>
        <w:jc w:val="both"/>
        <w:rPr>
          <w:rFonts w:eastAsiaTheme="minorHAnsi" w:cstheme="minorHAnsi"/>
        </w:rPr>
      </w:pPr>
    </w:p>
    <w:p w14:paraId="537B2BFE" w14:textId="7F52A383" w:rsidR="001B2972" w:rsidRPr="001B2972" w:rsidRDefault="001B2972" w:rsidP="001B2972">
      <w:pPr>
        <w:spacing w:after="0" w:line="240" w:lineRule="auto"/>
        <w:ind w:left="720"/>
        <w:jc w:val="both"/>
        <w:rPr>
          <w:rFonts w:eastAsiaTheme="minorHAnsi" w:cstheme="minorHAnsi"/>
        </w:rPr>
      </w:pPr>
      <w:r w:rsidRPr="001B2972">
        <w:rPr>
          <w:rFonts w:eastAsiaTheme="minorHAnsi" w:cstheme="minorHAnsi"/>
        </w:rPr>
        <w:t xml:space="preserve">Säteilyn painotuskertoimet </w:t>
      </w:r>
      <w:r w:rsidRPr="001B2972">
        <w:rPr>
          <w:rFonts w:eastAsiaTheme="minorHAnsi" w:cstheme="minorHAnsi"/>
          <w:i/>
        </w:rPr>
        <w:t>w</w:t>
      </w:r>
      <w:r w:rsidRPr="001B2972">
        <w:rPr>
          <w:rFonts w:eastAsiaTheme="minorHAnsi" w:cstheme="minorHAnsi"/>
          <w:i/>
          <w:vertAlign w:val="subscript"/>
        </w:rPr>
        <w:t>R</w:t>
      </w:r>
      <w:r w:rsidRPr="001B2972">
        <w:rPr>
          <w:rFonts w:eastAsiaTheme="minorHAnsi" w:cstheme="minorHAnsi"/>
        </w:rPr>
        <w:t xml:space="preserve"> on annettu liitteessä </w:t>
      </w:r>
      <w:r>
        <w:rPr>
          <w:rFonts w:eastAsiaTheme="minorHAnsi" w:cstheme="minorHAnsi"/>
        </w:rPr>
        <w:t>2</w:t>
      </w:r>
      <w:r w:rsidRPr="001B2972">
        <w:rPr>
          <w:rFonts w:eastAsiaTheme="minorHAnsi" w:cstheme="minorHAnsi"/>
        </w:rPr>
        <w:t>.</w:t>
      </w:r>
    </w:p>
    <w:p w14:paraId="3753939A" w14:textId="77777777" w:rsidR="001B2972" w:rsidRPr="001B2972" w:rsidRDefault="001B2972" w:rsidP="001B2972">
      <w:pPr>
        <w:spacing w:after="0" w:line="240" w:lineRule="auto"/>
        <w:ind w:left="720"/>
        <w:jc w:val="both"/>
        <w:rPr>
          <w:rFonts w:eastAsiaTheme="minorHAnsi" w:cstheme="minorHAnsi"/>
        </w:rPr>
      </w:pPr>
    </w:p>
    <w:p w14:paraId="1C525D1B" w14:textId="77777777" w:rsidR="001B2972" w:rsidRPr="001B2972" w:rsidRDefault="001B2972" w:rsidP="001B2972">
      <w:pPr>
        <w:spacing w:after="0" w:line="240" w:lineRule="auto"/>
        <w:ind w:left="720"/>
        <w:jc w:val="both"/>
        <w:rPr>
          <w:rFonts w:eastAsiaTheme="minorHAnsi" w:cstheme="minorHAnsi"/>
          <w:b/>
        </w:rPr>
      </w:pPr>
    </w:p>
    <w:p w14:paraId="1ECA8657" w14:textId="77777777" w:rsidR="001B2972" w:rsidRPr="001B2972" w:rsidRDefault="001B2972" w:rsidP="00624C57">
      <w:pPr>
        <w:numPr>
          <w:ilvl w:val="0"/>
          <w:numId w:val="39"/>
        </w:numPr>
        <w:spacing w:after="0" w:line="240" w:lineRule="auto"/>
        <w:jc w:val="both"/>
        <w:rPr>
          <w:rFonts w:eastAsiaTheme="minorHAnsi" w:cstheme="minorHAnsi"/>
        </w:rPr>
      </w:pPr>
      <w:r w:rsidRPr="001B2972">
        <w:rPr>
          <w:rFonts w:eastAsiaTheme="minorHAnsi" w:cstheme="minorHAnsi"/>
          <w:i/>
          <w:iCs/>
        </w:rPr>
        <w:t xml:space="preserve">ekvivalenttiannosnopeus </w:t>
      </w:r>
      <w:r w:rsidR="00D17A57" w:rsidRPr="00D17A57">
        <w:rPr>
          <w:rFonts w:eastAsiaTheme="minorHAnsi" w:cstheme="minorHAnsi"/>
          <w:b/>
          <w:position w:val="-10"/>
        </w:rPr>
        <w:object w:dxaOrig="440" w:dyaOrig="360" w14:anchorId="62C2C7BF">
          <v:shape id="_x0000_i1032" type="#_x0000_t75" style="width:20.05pt;height:15.65pt" o:ole="" fillcolor="window">
            <v:imagedata r:id="rId26" o:title=""/>
          </v:shape>
          <o:OLEObject Type="Embed" ProgID="Equation.3" ShapeID="_x0000_i1032" DrawAspect="Content" ObjectID="_1562583944" r:id="rId27"/>
        </w:object>
      </w:r>
      <w:r w:rsidRPr="001B2972">
        <w:rPr>
          <w:rFonts w:eastAsiaTheme="minorHAnsi" w:cstheme="minorHAnsi"/>
          <w:b/>
        </w:rPr>
        <w:t xml:space="preserve">, </w:t>
      </w:r>
      <w:r w:rsidRPr="001B2972">
        <w:rPr>
          <w:rFonts w:eastAsiaTheme="minorHAnsi" w:cstheme="minorHAnsi"/>
        </w:rPr>
        <w:t xml:space="preserve">jolla tarkoitetaan tietyllä aikavälillä olevan ekvivalenttiannoksen kasvun </w:t>
      </w:r>
      <w:r w:rsidR="00D17A57" w:rsidRPr="00D17A57">
        <w:rPr>
          <w:rFonts w:eastAsiaTheme="minorHAnsi" w:cstheme="minorHAnsi"/>
          <w:b/>
          <w:position w:val="-10"/>
        </w:rPr>
        <w:object w:dxaOrig="580" w:dyaOrig="360" w14:anchorId="6575D3F5">
          <v:shape id="_x0000_i1033" type="#_x0000_t75" style="width:25.65pt;height:15.65pt" o:ole="" fillcolor="window">
            <v:imagedata r:id="rId28" o:title=""/>
          </v:shape>
          <o:OLEObject Type="Embed" ProgID="Equation.3" ShapeID="_x0000_i1033" DrawAspect="Content" ObjectID="_1562583945" r:id="rId29"/>
        </w:object>
      </w:r>
      <w:r w:rsidRPr="001B2972">
        <w:rPr>
          <w:rFonts w:eastAsiaTheme="minorHAnsi" w:cstheme="minorHAnsi"/>
        </w:rPr>
        <w:t xml:space="preserve">ja tämän aikavälin </w:t>
      </w:r>
      <w:r w:rsidR="00D17A57" w:rsidRPr="00D17A57">
        <w:rPr>
          <w:rFonts w:eastAsiaTheme="minorHAnsi" w:cstheme="minorHAnsi"/>
          <w:b/>
          <w:position w:val="-10"/>
        </w:rPr>
        <w:object w:dxaOrig="300" w:dyaOrig="320" w14:anchorId="74515B95">
          <v:shape id="_x0000_i1034" type="#_x0000_t75" style="width:13.75pt;height:14.4pt" o:ole="" fillcolor="window">
            <v:imagedata r:id="rId30" o:title=""/>
          </v:shape>
          <o:OLEObject Type="Embed" ProgID="Equation.3" ShapeID="_x0000_i1034" DrawAspect="Content" ObjectID="_1562583946" r:id="rId31"/>
        </w:object>
      </w:r>
      <w:r w:rsidRPr="001B2972">
        <w:rPr>
          <w:rFonts w:eastAsiaTheme="minorHAnsi" w:cstheme="minorHAnsi"/>
        </w:rPr>
        <w:t>osamäärää:</w:t>
      </w:r>
    </w:p>
    <w:p w14:paraId="5A906D8D" w14:textId="77777777" w:rsidR="001B2972" w:rsidRPr="001B2972" w:rsidRDefault="001B2972" w:rsidP="001B2972">
      <w:pPr>
        <w:spacing w:after="0" w:line="240" w:lineRule="auto"/>
        <w:ind w:left="720"/>
        <w:jc w:val="both"/>
        <w:rPr>
          <w:rFonts w:eastAsiaTheme="minorHAnsi" w:cstheme="minorHAnsi"/>
          <w:b/>
        </w:rPr>
      </w:pPr>
      <w:r w:rsidRPr="001B2972">
        <w:rPr>
          <w:rFonts w:eastAsiaTheme="minorHAnsi" w:cstheme="minorHAnsi"/>
          <w:b/>
        </w:rPr>
        <w:object w:dxaOrig="1140" w:dyaOrig="639" w14:anchorId="70334D73">
          <v:shape id="_x0000_i1035" type="#_x0000_t75" style="width:49.45pt;height:27.55pt" o:ole="" fillcolor="window">
            <v:imagedata r:id="rId32" o:title=""/>
          </v:shape>
          <o:OLEObject Type="Embed" ProgID="Equation.3" ShapeID="_x0000_i1035" DrawAspect="Content" ObjectID="_1562583947" r:id="rId33"/>
        </w:object>
      </w:r>
      <w:r w:rsidRPr="001B2972">
        <w:rPr>
          <w:rFonts w:eastAsiaTheme="minorHAnsi" w:cstheme="minorHAnsi"/>
          <w:b/>
        </w:rPr>
        <w:tab/>
      </w:r>
      <w:r w:rsidRPr="001B2972">
        <w:rPr>
          <w:rFonts w:eastAsiaTheme="minorHAnsi" w:cstheme="minorHAnsi"/>
          <w:b/>
        </w:rPr>
        <w:tab/>
      </w:r>
      <w:r w:rsidRPr="001B2972">
        <w:rPr>
          <w:rFonts w:eastAsiaTheme="minorHAnsi" w:cstheme="minorHAnsi"/>
          <w:b/>
        </w:rPr>
        <w:tab/>
      </w:r>
      <w:r w:rsidRPr="001B2972">
        <w:rPr>
          <w:rFonts w:eastAsiaTheme="minorHAnsi" w:cstheme="minorHAnsi"/>
          <w:b/>
        </w:rPr>
        <w:tab/>
      </w:r>
    </w:p>
    <w:p w14:paraId="71C7B208" w14:textId="77777777" w:rsidR="001B2972" w:rsidRPr="001B2972" w:rsidRDefault="001B2972" w:rsidP="001B2972">
      <w:pPr>
        <w:spacing w:after="0" w:line="240" w:lineRule="auto"/>
        <w:ind w:left="720"/>
        <w:jc w:val="both"/>
        <w:rPr>
          <w:rFonts w:eastAsiaTheme="minorHAnsi" w:cstheme="minorHAnsi"/>
        </w:rPr>
      </w:pPr>
    </w:p>
    <w:p w14:paraId="1505C7C2" w14:textId="7196D9A7" w:rsidR="001B2972" w:rsidRPr="001B2972" w:rsidRDefault="001B2972" w:rsidP="00624C57">
      <w:pPr>
        <w:numPr>
          <w:ilvl w:val="0"/>
          <w:numId w:val="39"/>
        </w:numPr>
        <w:spacing w:after="0" w:line="240" w:lineRule="auto"/>
        <w:jc w:val="both"/>
        <w:rPr>
          <w:rFonts w:eastAsiaTheme="minorHAnsi" w:cstheme="minorHAnsi"/>
        </w:rPr>
      </w:pPr>
      <w:r w:rsidRPr="001B2972">
        <w:rPr>
          <w:rFonts w:eastAsiaTheme="minorHAnsi" w:cstheme="minorHAnsi"/>
          <w:i/>
          <w:iCs/>
        </w:rPr>
        <w:t xml:space="preserve">efektiivinen annos E, </w:t>
      </w:r>
      <w:r w:rsidRPr="001B2972">
        <w:rPr>
          <w:rFonts w:eastAsiaTheme="minorHAnsi" w:cstheme="minorHAnsi"/>
          <w:iCs/>
        </w:rPr>
        <w:t>jolla tarkoitetaan</w:t>
      </w:r>
      <w:r w:rsidRPr="001B2972">
        <w:rPr>
          <w:rFonts w:eastAsiaTheme="minorHAnsi" w:cstheme="minorHAnsi"/>
          <w:i/>
          <w:iCs/>
        </w:rPr>
        <w:t xml:space="preserve"> </w:t>
      </w:r>
      <w:r w:rsidRPr="001B2972">
        <w:rPr>
          <w:rFonts w:eastAsiaTheme="minorHAnsi" w:cstheme="minorHAnsi"/>
        </w:rPr>
        <w:t xml:space="preserve">liitteessä </w:t>
      </w:r>
      <w:r w:rsidR="003B78BF">
        <w:rPr>
          <w:rFonts w:eastAsiaTheme="minorHAnsi" w:cstheme="minorHAnsi"/>
        </w:rPr>
        <w:t>2</w:t>
      </w:r>
      <w:r w:rsidR="003B78BF" w:rsidRPr="001B2972">
        <w:rPr>
          <w:rFonts w:eastAsiaTheme="minorHAnsi" w:cstheme="minorHAnsi"/>
        </w:rPr>
        <w:t xml:space="preserve"> </w:t>
      </w:r>
      <w:r w:rsidRPr="001B2972">
        <w:rPr>
          <w:rFonts w:eastAsiaTheme="minorHAnsi" w:cstheme="minorHAnsi"/>
        </w:rPr>
        <w:t>annettujen kudosten painotusker</w:t>
      </w:r>
      <w:r w:rsidRPr="001B2972">
        <w:rPr>
          <w:rFonts w:eastAsiaTheme="minorHAnsi" w:cstheme="minorHAnsi"/>
        </w:rPr>
        <w:softHyphen/>
        <w:t xml:space="preserve">toimilla </w:t>
      </w:r>
      <w:r w:rsidRPr="001B2972">
        <w:rPr>
          <w:rFonts w:eastAsiaTheme="minorHAnsi" w:cstheme="minorHAnsi"/>
          <w:i/>
        </w:rPr>
        <w:t>w</w:t>
      </w:r>
      <w:r w:rsidRPr="001B2972">
        <w:rPr>
          <w:rFonts w:eastAsiaTheme="minorHAnsi" w:cstheme="minorHAnsi"/>
          <w:i/>
          <w:vertAlign w:val="subscript"/>
        </w:rPr>
        <w:t>T</w:t>
      </w:r>
      <w:r w:rsidRPr="001B2972">
        <w:rPr>
          <w:rFonts w:eastAsiaTheme="minorHAnsi" w:cstheme="minorHAnsi"/>
        </w:rPr>
        <w:t xml:space="preserve"> kerrottujen ekvivalenttiannosten </w:t>
      </w:r>
      <w:r w:rsidRPr="001B2972">
        <w:rPr>
          <w:rFonts w:eastAsiaTheme="minorHAnsi" w:cstheme="minorHAnsi"/>
          <w:i/>
        </w:rPr>
        <w:t>H</w:t>
      </w:r>
      <w:r w:rsidRPr="001B2972">
        <w:rPr>
          <w:rFonts w:eastAsiaTheme="minorHAnsi" w:cstheme="minorHAnsi"/>
          <w:i/>
          <w:vertAlign w:val="subscript"/>
        </w:rPr>
        <w:t>T</w:t>
      </w:r>
      <w:r w:rsidRPr="001B2972">
        <w:rPr>
          <w:rFonts w:eastAsiaTheme="minorHAnsi" w:cstheme="minorHAnsi"/>
        </w:rPr>
        <w:t xml:space="preserve"> summaa:</w:t>
      </w:r>
    </w:p>
    <w:p w14:paraId="19CD11B4" w14:textId="77777777" w:rsidR="001B2972" w:rsidRPr="001B2972" w:rsidRDefault="001603BB" w:rsidP="001B2972">
      <w:pPr>
        <w:spacing w:after="0" w:line="240" w:lineRule="auto"/>
        <w:ind w:left="720"/>
        <w:jc w:val="both"/>
        <w:rPr>
          <w:rFonts w:eastAsiaTheme="minorHAnsi" w:cstheme="minorHAnsi"/>
        </w:rPr>
      </w:pPr>
      <m:oMath>
        <m:r>
          <w:rPr>
            <w:rFonts w:ascii="Cambria Math" w:eastAsiaTheme="minorHAnsi" w:hAnsi="Cambria Math" w:cstheme="minorHAnsi"/>
          </w:rPr>
          <m:t>E=</m:t>
        </m:r>
        <m:nary>
          <m:naryPr>
            <m:chr m:val="∑"/>
            <m:limLoc m:val="undOvr"/>
            <m:supHide m:val="1"/>
            <m:ctrlPr>
              <w:rPr>
                <w:rFonts w:ascii="Cambria Math" w:eastAsiaTheme="minorHAnsi" w:hAnsi="Cambria Math" w:cstheme="minorHAnsi"/>
                <w:i/>
              </w:rPr>
            </m:ctrlPr>
          </m:naryPr>
          <m:sub>
            <m:r>
              <w:rPr>
                <w:rFonts w:ascii="Cambria Math" w:eastAsiaTheme="minorHAnsi" w:hAnsi="Cambria Math" w:cstheme="minorHAnsi"/>
              </w:rPr>
              <m:t>T</m:t>
            </m:r>
          </m:sub>
          <m:sup/>
          <m:e>
            <m:sSub>
              <m:sSubPr>
                <m:ctrlPr>
                  <w:rPr>
                    <w:rFonts w:ascii="Cambria Math" w:eastAsiaTheme="minorHAnsi" w:hAnsi="Cambria Math" w:cstheme="minorHAnsi"/>
                    <w:i/>
                  </w:rPr>
                </m:ctrlPr>
              </m:sSubPr>
              <m:e>
                <m:r>
                  <w:rPr>
                    <w:rFonts w:ascii="Cambria Math" w:eastAsiaTheme="minorHAnsi" w:hAnsi="Cambria Math" w:cstheme="minorHAnsi"/>
                  </w:rPr>
                  <m:t>w</m:t>
                </m:r>
              </m:e>
              <m:sub>
                <m:r>
                  <w:rPr>
                    <w:rFonts w:ascii="Cambria Math" w:eastAsiaTheme="minorHAnsi" w:hAnsi="Cambria Math" w:cstheme="minorHAnsi"/>
                  </w:rPr>
                  <m:t>T</m:t>
                </m:r>
              </m:sub>
            </m:sSub>
          </m:e>
        </m:nary>
        <m:sSub>
          <m:sSubPr>
            <m:ctrlPr>
              <w:rPr>
                <w:rFonts w:ascii="Cambria Math" w:eastAsiaTheme="minorHAnsi" w:hAnsi="Cambria Math" w:cstheme="minorHAnsi"/>
                <w:i/>
              </w:rPr>
            </m:ctrlPr>
          </m:sSubPr>
          <m:e>
            <m:r>
              <w:rPr>
                <w:rFonts w:ascii="Cambria Math" w:eastAsiaTheme="minorHAnsi" w:hAnsi="Cambria Math" w:cstheme="minorHAnsi"/>
              </w:rPr>
              <m:t>H</m:t>
            </m:r>
          </m:e>
          <m:sub>
            <m:r>
              <w:rPr>
                <w:rFonts w:ascii="Cambria Math" w:eastAsiaTheme="minorHAnsi" w:hAnsi="Cambria Math" w:cstheme="minorHAnsi"/>
              </w:rPr>
              <m:t>T</m:t>
            </m:r>
          </m:sub>
        </m:sSub>
        <m:r>
          <w:rPr>
            <w:rFonts w:ascii="Cambria Math" w:eastAsiaTheme="minorHAnsi" w:hAnsi="Cambria Math" w:cstheme="minorHAnsi"/>
          </w:rPr>
          <m:t>=</m:t>
        </m:r>
        <m:nary>
          <m:naryPr>
            <m:chr m:val="∑"/>
            <m:limLoc m:val="undOvr"/>
            <m:supHide m:val="1"/>
            <m:ctrlPr>
              <w:rPr>
                <w:rFonts w:ascii="Cambria Math" w:eastAsiaTheme="minorHAnsi" w:hAnsi="Cambria Math" w:cstheme="minorHAnsi"/>
                <w:i/>
              </w:rPr>
            </m:ctrlPr>
          </m:naryPr>
          <m:sub>
            <m:r>
              <w:rPr>
                <w:rFonts w:ascii="Cambria Math" w:eastAsiaTheme="minorHAnsi" w:hAnsi="Cambria Math" w:cstheme="minorHAnsi"/>
              </w:rPr>
              <m:t>T</m:t>
            </m:r>
          </m:sub>
          <m:sup/>
          <m:e>
            <m:sSub>
              <m:sSubPr>
                <m:ctrlPr>
                  <w:rPr>
                    <w:rFonts w:ascii="Cambria Math" w:eastAsiaTheme="minorHAnsi" w:hAnsi="Cambria Math" w:cstheme="minorHAnsi"/>
                    <w:i/>
                  </w:rPr>
                </m:ctrlPr>
              </m:sSubPr>
              <m:e>
                <m:r>
                  <w:rPr>
                    <w:rFonts w:ascii="Cambria Math" w:eastAsiaTheme="minorHAnsi" w:hAnsi="Cambria Math" w:cstheme="minorHAnsi"/>
                  </w:rPr>
                  <m:t>w</m:t>
                </m:r>
              </m:e>
              <m:sub>
                <m:r>
                  <w:rPr>
                    <w:rFonts w:ascii="Cambria Math" w:eastAsiaTheme="minorHAnsi" w:hAnsi="Cambria Math" w:cstheme="minorHAnsi"/>
                  </w:rPr>
                  <m:t>T</m:t>
                </m:r>
              </m:sub>
            </m:sSub>
          </m:e>
        </m:nary>
        <m:nary>
          <m:naryPr>
            <m:chr m:val="∑"/>
            <m:limLoc m:val="undOvr"/>
            <m:supHide m:val="1"/>
            <m:ctrlPr>
              <w:rPr>
                <w:rFonts w:ascii="Cambria Math" w:eastAsiaTheme="minorHAnsi" w:hAnsi="Cambria Math" w:cstheme="minorHAnsi"/>
                <w:i/>
              </w:rPr>
            </m:ctrlPr>
          </m:naryPr>
          <m:sub>
            <m:r>
              <w:rPr>
                <w:rFonts w:ascii="Cambria Math" w:eastAsiaTheme="minorHAnsi" w:hAnsi="Cambria Math" w:cstheme="minorHAnsi"/>
              </w:rPr>
              <m:t>R</m:t>
            </m:r>
          </m:sub>
          <m:sup/>
          <m:e>
            <m:sSub>
              <m:sSubPr>
                <m:ctrlPr>
                  <w:rPr>
                    <w:rFonts w:ascii="Cambria Math" w:eastAsiaTheme="minorHAnsi" w:hAnsi="Cambria Math" w:cstheme="minorHAnsi"/>
                    <w:i/>
                  </w:rPr>
                </m:ctrlPr>
              </m:sSubPr>
              <m:e>
                <m:r>
                  <w:rPr>
                    <w:rFonts w:ascii="Cambria Math" w:eastAsiaTheme="minorHAnsi" w:hAnsi="Cambria Math" w:cstheme="minorHAnsi"/>
                  </w:rPr>
                  <m:t>w</m:t>
                </m:r>
              </m:e>
              <m:sub>
                <m:r>
                  <w:rPr>
                    <w:rFonts w:ascii="Cambria Math" w:eastAsiaTheme="minorHAnsi" w:hAnsi="Cambria Math" w:cstheme="minorHAnsi"/>
                  </w:rPr>
                  <m:t>R</m:t>
                </m:r>
              </m:sub>
            </m:sSub>
            <m:sSub>
              <m:sSubPr>
                <m:ctrlPr>
                  <w:rPr>
                    <w:rFonts w:ascii="Cambria Math" w:eastAsiaTheme="minorHAnsi" w:hAnsi="Cambria Math" w:cstheme="minorHAnsi"/>
                    <w:i/>
                  </w:rPr>
                </m:ctrlPr>
              </m:sSubPr>
              <m:e>
                <m:r>
                  <w:rPr>
                    <w:rFonts w:ascii="Cambria Math" w:eastAsiaTheme="minorHAnsi" w:hAnsi="Cambria Math" w:cstheme="minorHAnsi"/>
                  </w:rPr>
                  <m:t>D</m:t>
                </m:r>
              </m:e>
              <m:sub>
                <m:r>
                  <w:rPr>
                    <w:rFonts w:ascii="Cambria Math" w:eastAsiaTheme="minorHAnsi" w:hAnsi="Cambria Math" w:cstheme="minorHAnsi"/>
                  </w:rPr>
                  <m:t>T,R</m:t>
                </m:r>
              </m:sub>
            </m:sSub>
          </m:e>
        </m:nary>
      </m:oMath>
      <w:r w:rsidR="001B2972" w:rsidRPr="001B2972">
        <w:rPr>
          <w:rFonts w:eastAsiaTheme="minorHAnsi" w:cstheme="minorHAnsi"/>
        </w:rPr>
        <w:t xml:space="preserve"> </w:t>
      </w:r>
      <w:r w:rsidR="001B2972" w:rsidRPr="001B2972">
        <w:rPr>
          <w:rFonts w:eastAsiaTheme="minorHAnsi" w:cstheme="minorHAnsi"/>
        </w:rPr>
        <w:tab/>
      </w:r>
      <w:r w:rsidR="001B2972" w:rsidRPr="001B2972">
        <w:rPr>
          <w:rFonts w:eastAsiaTheme="minorHAnsi" w:cstheme="minorHAnsi"/>
        </w:rPr>
        <w:tab/>
      </w:r>
    </w:p>
    <w:p w14:paraId="6B2CF104" w14:textId="77777777" w:rsidR="001B2972" w:rsidRPr="001B2972" w:rsidRDefault="001B2972" w:rsidP="001B2972">
      <w:pPr>
        <w:spacing w:after="0" w:line="240" w:lineRule="auto"/>
        <w:ind w:left="720"/>
        <w:jc w:val="both"/>
        <w:rPr>
          <w:rFonts w:eastAsiaTheme="minorHAnsi" w:cstheme="minorHAnsi"/>
        </w:rPr>
      </w:pPr>
    </w:p>
    <w:p w14:paraId="3627235C" w14:textId="77777777" w:rsidR="001B2972" w:rsidRPr="001B2972" w:rsidRDefault="001B2972" w:rsidP="00624C57">
      <w:pPr>
        <w:numPr>
          <w:ilvl w:val="0"/>
          <w:numId w:val="39"/>
        </w:numPr>
        <w:spacing w:after="0" w:line="240" w:lineRule="auto"/>
        <w:jc w:val="both"/>
        <w:rPr>
          <w:rFonts w:eastAsiaTheme="minorHAnsi" w:cstheme="minorHAnsi"/>
        </w:rPr>
      </w:pPr>
      <w:r w:rsidRPr="001B2972">
        <w:rPr>
          <w:rFonts w:eastAsiaTheme="minorHAnsi" w:cstheme="minorHAnsi"/>
        </w:rPr>
        <w:t xml:space="preserve">Kudoksen T </w:t>
      </w:r>
      <w:r w:rsidRPr="001B2972">
        <w:rPr>
          <w:rFonts w:eastAsiaTheme="minorHAnsi" w:cstheme="minorHAnsi"/>
          <w:i/>
          <w:iCs/>
        </w:rPr>
        <w:t xml:space="preserve">ekvivalenttiannoksen kertymä </w:t>
      </w:r>
      <w:r w:rsidRPr="001B2972">
        <w:rPr>
          <w:rFonts w:eastAsiaTheme="minorHAnsi" w:cstheme="minorHAnsi"/>
          <w:i/>
        </w:rPr>
        <w:t xml:space="preserve"> H</w:t>
      </w:r>
      <w:r w:rsidRPr="001B2972">
        <w:rPr>
          <w:rFonts w:eastAsiaTheme="minorHAnsi" w:cstheme="minorHAnsi"/>
          <w:i/>
          <w:vertAlign w:val="subscript"/>
        </w:rPr>
        <w:t>T</w:t>
      </w:r>
      <w:r w:rsidRPr="001B2972">
        <w:rPr>
          <w:rFonts w:eastAsiaTheme="minorHAnsi" w:cstheme="minorHAnsi"/>
          <w:i/>
        </w:rPr>
        <w:t xml:space="preserve">(τ), </w:t>
      </w:r>
      <w:r w:rsidRPr="001B2972">
        <w:rPr>
          <w:rFonts w:eastAsiaTheme="minorHAnsi" w:cstheme="minorHAnsi"/>
        </w:rPr>
        <w:t>jolla tarkoitetaan kehoon joutuneesta radioaktiivisesta aineesta tälle kudokselle aiheutuvaa ekvivalenttiannosta:</w:t>
      </w:r>
    </w:p>
    <w:p w14:paraId="16845279" w14:textId="77777777" w:rsidR="001B2972" w:rsidRPr="001B2972" w:rsidRDefault="001B2972" w:rsidP="001B2972">
      <w:pPr>
        <w:spacing w:after="0" w:line="240" w:lineRule="auto"/>
        <w:ind w:left="720"/>
        <w:jc w:val="both"/>
        <w:rPr>
          <w:rFonts w:eastAsiaTheme="minorHAnsi" w:cstheme="minorHAnsi"/>
        </w:rPr>
      </w:pPr>
    </w:p>
    <w:p w14:paraId="6D5C9B76" w14:textId="77777777" w:rsidR="001B2972" w:rsidRPr="001B2972" w:rsidRDefault="009F56F8" w:rsidP="001B2972">
      <w:pPr>
        <w:spacing w:after="0" w:line="240" w:lineRule="auto"/>
        <w:ind w:left="720"/>
        <w:jc w:val="both"/>
        <w:rPr>
          <w:rFonts w:eastAsiaTheme="minorHAnsi" w:cstheme="minorHAnsi"/>
        </w:rPr>
      </w:pPr>
      <m:oMath>
        <m:sSub>
          <m:sSubPr>
            <m:ctrlPr>
              <w:rPr>
                <w:rFonts w:ascii="Cambria Math" w:eastAsiaTheme="minorHAnsi" w:hAnsi="Cambria Math" w:cstheme="minorHAnsi"/>
                <w:i/>
              </w:rPr>
            </m:ctrlPr>
          </m:sSubPr>
          <m:e>
            <m:r>
              <w:rPr>
                <w:rFonts w:ascii="Cambria Math" w:eastAsiaTheme="minorHAnsi" w:hAnsi="Cambria Math" w:cstheme="minorHAnsi"/>
              </w:rPr>
              <m:t>H</m:t>
            </m:r>
          </m:e>
          <m:sub>
            <m:r>
              <w:rPr>
                <w:rFonts w:ascii="Cambria Math" w:eastAsiaTheme="minorHAnsi" w:hAnsi="Cambria Math" w:cstheme="minorHAnsi"/>
              </w:rPr>
              <m:t>T</m:t>
            </m:r>
          </m:sub>
        </m:sSub>
        <m:d>
          <m:dPr>
            <m:ctrlPr>
              <w:rPr>
                <w:rFonts w:ascii="Cambria Math" w:eastAsiaTheme="minorHAnsi" w:hAnsi="Cambria Math" w:cstheme="minorHAnsi"/>
                <w:i/>
              </w:rPr>
            </m:ctrlPr>
          </m:dPr>
          <m:e>
            <m:r>
              <w:rPr>
                <w:rFonts w:ascii="Cambria Math" w:eastAsiaTheme="minorHAnsi" w:hAnsi="Cambria Math" w:cstheme="minorHAnsi"/>
              </w:rPr>
              <m:t>τ</m:t>
            </m:r>
          </m:e>
        </m:d>
        <m:r>
          <w:rPr>
            <w:rFonts w:ascii="Cambria Math" w:eastAsiaTheme="minorHAnsi" w:hAnsi="Cambria Math" w:cstheme="minorHAnsi"/>
          </w:rPr>
          <m:t>=</m:t>
        </m:r>
        <m:nary>
          <m:naryPr>
            <m:limLoc m:val="subSup"/>
            <m:ctrlPr>
              <w:rPr>
                <w:rFonts w:ascii="Cambria Math" w:eastAsiaTheme="minorHAnsi" w:hAnsi="Cambria Math" w:cstheme="minorHAnsi"/>
                <w:i/>
              </w:rPr>
            </m:ctrlPr>
          </m:naryPr>
          <m:sub>
            <m:sSub>
              <m:sSubPr>
                <m:ctrlPr>
                  <w:rPr>
                    <w:rFonts w:ascii="Cambria Math" w:eastAsiaTheme="minorHAnsi" w:hAnsi="Cambria Math" w:cstheme="minorHAnsi"/>
                    <w:i/>
                  </w:rPr>
                </m:ctrlPr>
              </m:sSubPr>
              <m:e>
                <m:r>
                  <w:rPr>
                    <w:rFonts w:ascii="Cambria Math" w:eastAsiaTheme="minorHAnsi" w:hAnsi="Cambria Math" w:cstheme="minorHAnsi"/>
                  </w:rPr>
                  <m:t>t</m:t>
                </m:r>
              </m:e>
              <m:sub>
                <m:r>
                  <w:rPr>
                    <w:rFonts w:ascii="Cambria Math" w:eastAsiaTheme="minorHAnsi" w:hAnsi="Cambria Math" w:cstheme="minorHAnsi"/>
                  </w:rPr>
                  <m:t>0</m:t>
                </m:r>
              </m:sub>
            </m:sSub>
          </m:sub>
          <m:sup>
            <m:sSub>
              <m:sSubPr>
                <m:ctrlPr>
                  <w:rPr>
                    <w:rFonts w:ascii="Cambria Math" w:eastAsiaTheme="minorHAnsi" w:hAnsi="Cambria Math" w:cstheme="minorHAnsi"/>
                    <w:i/>
                  </w:rPr>
                </m:ctrlPr>
              </m:sSubPr>
              <m:e>
                <m:r>
                  <w:rPr>
                    <w:rFonts w:ascii="Cambria Math" w:eastAsiaTheme="minorHAnsi" w:hAnsi="Cambria Math" w:cstheme="minorHAnsi"/>
                  </w:rPr>
                  <m:t>t</m:t>
                </m:r>
              </m:e>
              <m:sub>
                <m:r>
                  <w:rPr>
                    <w:rFonts w:ascii="Cambria Math" w:eastAsiaTheme="minorHAnsi" w:hAnsi="Cambria Math" w:cstheme="minorHAnsi"/>
                  </w:rPr>
                  <m:t>0</m:t>
                </m:r>
              </m:sub>
            </m:sSub>
            <m:r>
              <w:rPr>
                <w:rFonts w:ascii="Cambria Math" w:eastAsiaTheme="minorHAnsi" w:hAnsi="Cambria Math" w:cstheme="minorHAnsi"/>
              </w:rPr>
              <m:t>+τ</m:t>
            </m:r>
          </m:sup>
          <m:e>
            <m:sSub>
              <m:sSubPr>
                <m:ctrlPr>
                  <w:rPr>
                    <w:rFonts w:ascii="Cambria Math" w:eastAsiaTheme="minorHAnsi" w:hAnsi="Cambria Math" w:cstheme="minorHAnsi"/>
                    <w:i/>
                  </w:rPr>
                </m:ctrlPr>
              </m:sSubPr>
              <m:e>
                <m:acc>
                  <m:accPr>
                    <m:chr m:val="̇"/>
                    <m:ctrlPr>
                      <w:rPr>
                        <w:rFonts w:ascii="Cambria Math" w:eastAsiaTheme="minorHAnsi" w:hAnsi="Cambria Math" w:cstheme="minorHAnsi"/>
                        <w:i/>
                      </w:rPr>
                    </m:ctrlPr>
                  </m:accPr>
                  <m:e>
                    <m:r>
                      <w:rPr>
                        <w:rFonts w:ascii="Cambria Math" w:eastAsiaTheme="minorHAnsi" w:hAnsi="Cambria Math" w:cstheme="minorHAnsi"/>
                      </w:rPr>
                      <m:t>H</m:t>
                    </m:r>
                  </m:e>
                </m:acc>
              </m:e>
              <m:sub>
                <m:r>
                  <w:rPr>
                    <w:rFonts w:ascii="Cambria Math" w:eastAsiaTheme="minorHAnsi" w:hAnsi="Cambria Math" w:cstheme="minorHAnsi"/>
                  </w:rPr>
                  <m:t>T</m:t>
                </m:r>
              </m:sub>
            </m:sSub>
            <m:d>
              <m:dPr>
                <m:ctrlPr>
                  <w:rPr>
                    <w:rFonts w:ascii="Cambria Math" w:eastAsiaTheme="minorHAnsi" w:hAnsi="Cambria Math" w:cstheme="minorHAnsi"/>
                    <w:i/>
                  </w:rPr>
                </m:ctrlPr>
              </m:dPr>
              <m:e>
                <m:r>
                  <w:rPr>
                    <w:rFonts w:ascii="Cambria Math" w:eastAsiaTheme="minorHAnsi" w:hAnsi="Cambria Math" w:cstheme="minorHAnsi"/>
                  </w:rPr>
                  <m:t>t</m:t>
                </m:r>
              </m:e>
            </m:d>
            <m:r>
              <w:rPr>
                <w:rFonts w:ascii="Cambria Math" w:eastAsiaTheme="minorHAnsi" w:hAnsi="Cambria Math" w:cstheme="minorHAnsi"/>
              </w:rPr>
              <m:t>dt</m:t>
            </m:r>
          </m:e>
        </m:nary>
      </m:oMath>
      <w:r w:rsidR="001B2972" w:rsidRPr="001B2972">
        <w:rPr>
          <w:rFonts w:eastAsiaTheme="minorHAnsi" w:cstheme="minorHAnsi"/>
        </w:rPr>
        <w:t xml:space="preserve"> , missä</w:t>
      </w:r>
      <w:r w:rsidR="001B2972" w:rsidRPr="001B2972">
        <w:rPr>
          <w:rFonts w:eastAsiaTheme="minorHAnsi" w:cstheme="minorHAnsi"/>
        </w:rPr>
        <w:tab/>
      </w:r>
      <w:r w:rsidR="001B2972" w:rsidRPr="001B2972">
        <w:rPr>
          <w:rFonts w:eastAsiaTheme="minorHAnsi" w:cstheme="minorHAnsi"/>
        </w:rPr>
        <w:tab/>
      </w:r>
      <w:r w:rsidR="001B2972" w:rsidRPr="001B2972">
        <w:rPr>
          <w:rFonts w:eastAsiaTheme="minorHAnsi" w:cstheme="minorHAnsi"/>
        </w:rPr>
        <w:tab/>
      </w:r>
    </w:p>
    <w:p w14:paraId="14C4DDDA" w14:textId="77777777" w:rsidR="001B2972" w:rsidRPr="001B2972" w:rsidRDefault="009F56F8" w:rsidP="001B2972">
      <w:pPr>
        <w:spacing w:after="0" w:line="240" w:lineRule="auto"/>
        <w:ind w:left="720"/>
        <w:jc w:val="both"/>
        <w:rPr>
          <w:rFonts w:eastAsiaTheme="minorHAnsi" w:cstheme="minorHAnsi"/>
        </w:rPr>
      </w:pPr>
      <m:oMath>
        <m:sSub>
          <m:sSubPr>
            <m:ctrlPr>
              <w:rPr>
                <w:rFonts w:ascii="Cambria Math" w:eastAsiaTheme="minorHAnsi" w:hAnsi="Cambria Math" w:cstheme="minorHAnsi"/>
                <w:i/>
              </w:rPr>
            </m:ctrlPr>
          </m:sSubPr>
          <m:e>
            <m:acc>
              <m:accPr>
                <m:chr m:val="̇"/>
                <m:ctrlPr>
                  <w:rPr>
                    <w:rFonts w:ascii="Cambria Math" w:eastAsiaTheme="minorHAnsi" w:hAnsi="Cambria Math" w:cstheme="minorHAnsi"/>
                    <w:i/>
                  </w:rPr>
                </m:ctrlPr>
              </m:accPr>
              <m:e>
                <m:r>
                  <w:rPr>
                    <w:rFonts w:ascii="Cambria Math" w:eastAsiaTheme="minorHAnsi" w:hAnsi="Cambria Math" w:cstheme="minorHAnsi"/>
                  </w:rPr>
                  <m:t>H</m:t>
                </m:r>
              </m:e>
            </m:acc>
          </m:e>
          <m:sub>
            <m:r>
              <w:rPr>
                <w:rFonts w:ascii="Cambria Math" w:eastAsiaTheme="minorHAnsi" w:hAnsi="Cambria Math" w:cstheme="minorHAnsi"/>
              </w:rPr>
              <m:t>T</m:t>
            </m:r>
          </m:sub>
        </m:sSub>
        <m:r>
          <w:rPr>
            <w:rFonts w:ascii="Cambria Math" w:eastAsiaTheme="minorHAnsi" w:hAnsi="Cambria Math" w:cstheme="minorHAnsi"/>
          </w:rPr>
          <m:t>(t)</m:t>
        </m:r>
      </m:oMath>
      <w:r w:rsidR="001B2972" w:rsidRPr="001B2972">
        <w:rPr>
          <w:rFonts w:eastAsiaTheme="minorHAnsi" w:cstheme="minorHAnsi"/>
        </w:rPr>
        <w:tab/>
        <w:t xml:space="preserve">on ekvivalenttiannosnopeus kudoksessa </w:t>
      </w:r>
      <w:r w:rsidR="001B2972" w:rsidRPr="001B2972">
        <w:rPr>
          <w:rFonts w:eastAsiaTheme="minorHAnsi" w:cstheme="minorHAnsi"/>
          <w:i/>
        </w:rPr>
        <w:t>T</w:t>
      </w:r>
      <w:r w:rsidR="001B2972" w:rsidRPr="001B2972">
        <w:rPr>
          <w:rFonts w:eastAsiaTheme="minorHAnsi" w:cstheme="minorHAnsi"/>
        </w:rPr>
        <w:t xml:space="preserve"> hetkellä </w:t>
      </w:r>
      <w:r w:rsidR="001B2972" w:rsidRPr="001B2972">
        <w:rPr>
          <w:rFonts w:eastAsiaTheme="minorHAnsi" w:cstheme="minorHAnsi"/>
          <w:i/>
        </w:rPr>
        <w:t>t</w:t>
      </w:r>
    </w:p>
    <w:p w14:paraId="5F7FC1E5" w14:textId="0AC5C50F" w:rsidR="001B2972" w:rsidRPr="001B2972" w:rsidRDefault="001B2972" w:rsidP="00A24A03">
      <w:pPr>
        <w:spacing w:after="0" w:line="240" w:lineRule="auto"/>
        <w:ind w:left="720"/>
        <w:jc w:val="both"/>
        <w:rPr>
          <w:rFonts w:eastAsiaTheme="minorHAnsi" w:cstheme="minorHAnsi"/>
        </w:rPr>
      </w:pPr>
      <w:r w:rsidRPr="001B2972">
        <w:rPr>
          <w:rFonts w:eastAsiaTheme="minorHAnsi" w:cstheme="minorHAnsi"/>
          <w:i/>
        </w:rPr>
        <w:t>t</w:t>
      </w:r>
      <w:r w:rsidRPr="001B2972">
        <w:rPr>
          <w:rFonts w:eastAsiaTheme="minorHAnsi" w:cstheme="minorHAnsi"/>
          <w:i/>
          <w:vertAlign w:val="subscript"/>
        </w:rPr>
        <w:t>0</w:t>
      </w:r>
      <w:r w:rsidRPr="001B2972">
        <w:rPr>
          <w:rFonts w:eastAsiaTheme="minorHAnsi" w:cstheme="minorHAnsi"/>
        </w:rPr>
        <w:tab/>
        <w:t xml:space="preserve">on saantihetki. Saantihetkestä laskettava integrointiaika </w:t>
      </w:r>
      <w:r w:rsidRPr="001B2972">
        <w:rPr>
          <w:rFonts w:eastAsiaTheme="minorHAnsi" w:cstheme="minorHAnsi"/>
          <w:i/>
        </w:rPr>
        <w:t>τ</w:t>
      </w:r>
      <w:r w:rsidRPr="001B2972">
        <w:rPr>
          <w:rFonts w:eastAsiaTheme="minorHAnsi" w:cstheme="minorHAnsi"/>
        </w:rPr>
        <w:t xml:space="preserve"> il</w:t>
      </w:r>
      <w:r w:rsidRPr="001B2972">
        <w:rPr>
          <w:rFonts w:eastAsiaTheme="minorHAnsi" w:cstheme="minorHAnsi"/>
        </w:rPr>
        <w:softHyphen/>
        <w:t>maistaan vuosina. Jos integrointiaikaa ei ole erikseen mainittu, sen oletetaan olevan</w:t>
      </w:r>
      <w:r w:rsidR="00A24A03">
        <w:rPr>
          <w:rFonts w:eastAsiaTheme="minorHAnsi" w:cstheme="minorHAnsi"/>
        </w:rPr>
        <w:t xml:space="preserve"> </w:t>
      </w:r>
      <w:r w:rsidRPr="001B2972">
        <w:rPr>
          <w:rFonts w:eastAsiaTheme="minorHAnsi" w:cstheme="minorHAnsi"/>
        </w:rPr>
        <w:t>aikuisil</w:t>
      </w:r>
      <w:r w:rsidRPr="001B2972">
        <w:rPr>
          <w:rFonts w:eastAsiaTheme="minorHAnsi" w:cstheme="minorHAnsi"/>
        </w:rPr>
        <w:softHyphen/>
        <w:t>le 50 vuotta ja lapsille (70-n) vuotta, missä n on lapsen ikä vuosina.</w:t>
      </w:r>
    </w:p>
    <w:p w14:paraId="433E55E4" w14:textId="77777777" w:rsidR="001B2972" w:rsidRPr="001B2972" w:rsidRDefault="001B2972" w:rsidP="001B2972">
      <w:pPr>
        <w:spacing w:after="0" w:line="240" w:lineRule="auto"/>
        <w:ind w:left="720"/>
        <w:jc w:val="both"/>
        <w:rPr>
          <w:rFonts w:eastAsiaTheme="minorHAnsi" w:cstheme="minorHAnsi"/>
        </w:rPr>
      </w:pPr>
      <w:r w:rsidRPr="001B2972">
        <w:rPr>
          <w:rFonts w:eastAsiaTheme="minorHAnsi" w:cstheme="minorHAnsi"/>
        </w:rPr>
        <w:tab/>
      </w:r>
    </w:p>
    <w:p w14:paraId="4971F4A7" w14:textId="77777777" w:rsidR="001B2972" w:rsidRPr="001B2972" w:rsidRDefault="001B2972" w:rsidP="00624C57">
      <w:pPr>
        <w:numPr>
          <w:ilvl w:val="0"/>
          <w:numId w:val="39"/>
        </w:numPr>
        <w:spacing w:after="0" w:line="240" w:lineRule="auto"/>
        <w:jc w:val="both"/>
        <w:rPr>
          <w:rFonts w:eastAsiaTheme="minorHAnsi" w:cstheme="minorHAnsi"/>
        </w:rPr>
      </w:pPr>
      <w:r w:rsidRPr="001B2972">
        <w:rPr>
          <w:rFonts w:eastAsiaTheme="minorHAnsi" w:cstheme="minorHAnsi"/>
          <w:i/>
        </w:rPr>
        <w:t>efektiivisen</w:t>
      </w:r>
      <w:r w:rsidRPr="001B2972">
        <w:rPr>
          <w:rFonts w:eastAsiaTheme="minorHAnsi" w:cstheme="minorHAnsi"/>
        </w:rPr>
        <w:t xml:space="preserve"> </w:t>
      </w:r>
      <w:r w:rsidRPr="001B2972">
        <w:rPr>
          <w:rFonts w:eastAsiaTheme="minorHAnsi" w:cstheme="minorHAnsi"/>
          <w:i/>
          <w:iCs/>
        </w:rPr>
        <w:t>annoksen kertymä</w:t>
      </w:r>
      <w:r w:rsidRPr="001B2972">
        <w:rPr>
          <w:rFonts w:eastAsiaTheme="minorHAnsi" w:cstheme="minorHAnsi"/>
        </w:rPr>
        <w:t xml:space="preserve"> </w:t>
      </w:r>
      <w:r w:rsidRPr="001B2972">
        <w:rPr>
          <w:rFonts w:eastAsiaTheme="minorHAnsi" w:cstheme="minorHAnsi"/>
          <w:i/>
        </w:rPr>
        <w:t xml:space="preserve">E(τ), </w:t>
      </w:r>
      <w:r w:rsidRPr="001B2972">
        <w:rPr>
          <w:rFonts w:eastAsiaTheme="minorHAnsi" w:cstheme="minorHAnsi"/>
        </w:rPr>
        <w:t xml:space="preserve">jolla tarkoitetaan kudosten painotuskertoimilla </w:t>
      </w:r>
      <w:r w:rsidRPr="001B2972">
        <w:rPr>
          <w:rFonts w:eastAsiaTheme="minorHAnsi" w:cstheme="minorHAnsi"/>
          <w:i/>
        </w:rPr>
        <w:t>w</w:t>
      </w:r>
      <w:r w:rsidRPr="001B2972">
        <w:rPr>
          <w:rFonts w:eastAsiaTheme="minorHAnsi" w:cstheme="minorHAnsi"/>
          <w:i/>
          <w:vertAlign w:val="subscript"/>
        </w:rPr>
        <w:t>T</w:t>
      </w:r>
      <w:r w:rsidRPr="001B2972">
        <w:rPr>
          <w:rFonts w:eastAsiaTheme="minorHAnsi" w:cstheme="minorHAnsi"/>
          <w:i/>
        </w:rPr>
        <w:t xml:space="preserve"> </w:t>
      </w:r>
      <w:r w:rsidRPr="001B2972">
        <w:rPr>
          <w:rFonts w:eastAsiaTheme="minorHAnsi" w:cstheme="minorHAnsi"/>
        </w:rPr>
        <w:t>kerrottujen ekvivalentti</w:t>
      </w:r>
      <w:r w:rsidRPr="001B2972">
        <w:rPr>
          <w:rFonts w:eastAsiaTheme="minorHAnsi" w:cstheme="minorHAnsi"/>
        </w:rPr>
        <w:softHyphen/>
        <w:t xml:space="preserve">annosten kertymien </w:t>
      </w:r>
      <w:r w:rsidRPr="001B2972">
        <w:rPr>
          <w:rFonts w:eastAsiaTheme="minorHAnsi" w:cstheme="minorHAnsi"/>
          <w:i/>
        </w:rPr>
        <w:t>H</w:t>
      </w:r>
      <w:r w:rsidRPr="001B2972">
        <w:rPr>
          <w:rFonts w:eastAsiaTheme="minorHAnsi" w:cstheme="minorHAnsi"/>
          <w:i/>
          <w:vertAlign w:val="subscript"/>
        </w:rPr>
        <w:t>T</w:t>
      </w:r>
      <w:r w:rsidRPr="001B2972">
        <w:rPr>
          <w:rFonts w:eastAsiaTheme="minorHAnsi" w:cstheme="minorHAnsi"/>
          <w:i/>
        </w:rPr>
        <w:t>(τ)</w:t>
      </w:r>
      <w:r w:rsidRPr="001B2972">
        <w:rPr>
          <w:rFonts w:eastAsiaTheme="minorHAnsi" w:cstheme="minorHAnsi"/>
        </w:rPr>
        <w:t xml:space="preserve"> summaa:</w:t>
      </w:r>
    </w:p>
    <w:p w14:paraId="33C388EE" w14:textId="77777777" w:rsidR="001B2972" w:rsidRPr="001B2972" w:rsidRDefault="001B2972" w:rsidP="001B2972">
      <w:pPr>
        <w:spacing w:after="0" w:line="240" w:lineRule="auto"/>
        <w:ind w:left="720"/>
        <w:jc w:val="both"/>
        <w:rPr>
          <w:rFonts w:eastAsiaTheme="minorHAnsi" w:cstheme="minorHAnsi"/>
        </w:rPr>
      </w:pPr>
    </w:p>
    <w:p w14:paraId="6F68D944" w14:textId="77777777" w:rsidR="001B2972" w:rsidRPr="001B2972" w:rsidRDefault="001603BB" w:rsidP="001B2972">
      <w:pPr>
        <w:spacing w:after="0" w:line="240" w:lineRule="auto"/>
        <w:ind w:left="720"/>
        <w:jc w:val="both"/>
        <w:rPr>
          <w:rFonts w:eastAsiaTheme="minorHAnsi" w:cstheme="minorHAnsi"/>
        </w:rPr>
      </w:pPr>
      <m:oMath>
        <m:r>
          <w:rPr>
            <w:rFonts w:ascii="Cambria Math" w:eastAsiaTheme="minorHAnsi" w:hAnsi="Cambria Math" w:cstheme="minorHAnsi"/>
          </w:rPr>
          <m:t>E</m:t>
        </m:r>
        <m:d>
          <m:dPr>
            <m:ctrlPr>
              <w:rPr>
                <w:rFonts w:ascii="Cambria Math" w:eastAsiaTheme="minorHAnsi" w:hAnsi="Cambria Math" w:cstheme="minorHAnsi"/>
                <w:i/>
              </w:rPr>
            </m:ctrlPr>
          </m:dPr>
          <m:e>
            <m:r>
              <w:rPr>
                <w:rFonts w:ascii="Cambria Math" w:eastAsiaTheme="minorHAnsi" w:hAnsi="Cambria Math" w:cstheme="minorHAnsi"/>
              </w:rPr>
              <m:t>τ</m:t>
            </m:r>
          </m:e>
        </m:d>
        <m:r>
          <w:rPr>
            <w:rFonts w:ascii="Cambria Math" w:eastAsiaTheme="minorHAnsi" w:hAnsi="Cambria Math" w:cstheme="minorHAnsi"/>
          </w:rPr>
          <m:t>=</m:t>
        </m:r>
        <m:nary>
          <m:naryPr>
            <m:chr m:val="∑"/>
            <m:limLoc m:val="undOvr"/>
            <m:supHide m:val="1"/>
            <m:ctrlPr>
              <w:rPr>
                <w:rFonts w:ascii="Cambria Math" w:eastAsiaTheme="minorHAnsi" w:hAnsi="Cambria Math" w:cstheme="minorHAnsi"/>
                <w:i/>
              </w:rPr>
            </m:ctrlPr>
          </m:naryPr>
          <m:sub>
            <m:r>
              <w:rPr>
                <w:rFonts w:ascii="Cambria Math" w:eastAsiaTheme="minorHAnsi" w:hAnsi="Cambria Math" w:cstheme="minorHAnsi"/>
              </w:rPr>
              <m:t>T</m:t>
            </m:r>
          </m:sub>
          <m:sup/>
          <m:e>
            <m:sSub>
              <m:sSubPr>
                <m:ctrlPr>
                  <w:rPr>
                    <w:rFonts w:ascii="Cambria Math" w:eastAsiaTheme="minorHAnsi" w:hAnsi="Cambria Math" w:cstheme="minorHAnsi"/>
                    <w:i/>
                  </w:rPr>
                </m:ctrlPr>
              </m:sSubPr>
              <m:e>
                <m:r>
                  <w:rPr>
                    <w:rFonts w:ascii="Cambria Math" w:eastAsiaTheme="minorHAnsi" w:hAnsi="Cambria Math" w:cstheme="minorHAnsi"/>
                  </w:rPr>
                  <m:t>w</m:t>
                </m:r>
              </m:e>
              <m:sub>
                <m:r>
                  <w:rPr>
                    <w:rFonts w:ascii="Cambria Math" w:eastAsiaTheme="minorHAnsi" w:hAnsi="Cambria Math" w:cstheme="minorHAnsi"/>
                  </w:rPr>
                  <m:t>T</m:t>
                </m:r>
              </m:sub>
            </m:sSub>
            <m:sSub>
              <m:sSubPr>
                <m:ctrlPr>
                  <w:rPr>
                    <w:rFonts w:ascii="Cambria Math" w:eastAsiaTheme="minorHAnsi" w:hAnsi="Cambria Math" w:cstheme="minorHAnsi"/>
                    <w:i/>
                  </w:rPr>
                </m:ctrlPr>
              </m:sSubPr>
              <m:e>
                <m:r>
                  <w:rPr>
                    <w:rFonts w:ascii="Cambria Math" w:eastAsiaTheme="minorHAnsi" w:hAnsi="Cambria Math" w:cstheme="minorHAnsi"/>
                  </w:rPr>
                  <m:t>H</m:t>
                </m:r>
              </m:e>
              <m:sub>
                <m:r>
                  <w:rPr>
                    <w:rFonts w:ascii="Cambria Math" w:eastAsiaTheme="minorHAnsi" w:hAnsi="Cambria Math" w:cstheme="minorHAnsi"/>
                  </w:rPr>
                  <m:t>T</m:t>
                </m:r>
              </m:sub>
            </m:sSub>
            <m:r>
              <w:rPr>
                <w:rFonts w:ascii="Cambria Math" w:eastAsiaTheme="minorHAnsi" w:hAnsi="Cambria Math" w:cstheme="minorHAnsi"/>
              </w:rPr>
              <m:t>(τ)</m:t>
            </m:r>
          </m:e>
        </m:nary>
        <m:r>
          <m:rPr>
            <m:sty m:val="p"/>
          </m:rPr>
          <w:rPr>
            <w:rFonts w:ascii="Cambria Math" w:eastAsiaTheme="minorHAnsi" w:hAnsi="Cambria Math" w:cstheme="minorHAnsi"/>
          </w:rPr>
          <m:t xml:space="preserve"> </m:t>
        </m:r>
      </m:oMath>
      <w:r w:rsidR="001B2972" w:rsidRPr="001B2972">
        <w:rPr>
          <w:rFonts w:eastAsiaTheme="minorHAnsi" w:cstheme="minorHAnsi"/>
        </w:rPr>
        <w:t>, missä</w:t>
      </w:r>
      <w:r w:rsidR="001B2972" w:rsidRPr="001B2972">
        <w:rPr>
          <w:rFonts w:eastAsiaTheme="minorHAnsi" w:cstheme="minorHAnsi"/>
        </w:rPr>
        <w:tab/>
      </w:r>
      <w:r w:rsidR="001B2972" w:rsidRPr="001B2972">
        <w:rPr>
          <w:rFonts w:eastAsiaTheme="minorHAnsi" w:cstheme="minorHAnsi"/>
        </w:rPr>
        <w:tab/>
      </w:r>
      <w:r w:rsidR="001B2972" w:rsidRPr="001B2972">
        <w:rPr>
          <w:rFonts w:eastAsiaTheme="minorHAnsi" w:cstheme="minorHAnsi"/>
        </w:rPr>
        <w:tab/>
      </w:r>
    </w:p>
    <w:p w14:paraId="2463F87F" w14:textId="77777777" w:rsidR="001B2972" w:rsidRPr="001B2972" w:rsidRDefault="001B2972" w:rsidP="001B2972">
      <w:pPr>
        <w:spacing w:after="0" w:line="240" w:lineRule="auto"/>
        <w:ind w:left="720"/>
        <w:jc w:val="both"/>
        <w:rPr>
          <w:rFonts w:eastAsiaTheme="minorHAnsi" w:cstheme="minorHAnsi"/>
        </w:rPr>
      </w:pPr>
      <w:r w:rsidRPr="001B2972">
        <w:rPr>
          <w:rFonts w:eastAsiaTheme="minorHAnsi" w:cstheme="minorHAnsi"/>
          <w:i/>
        </w:rPr>
        <w:t>w</w:t>
      </w:r>
      <w:r w:rsidRPr="001B2972">
        <w:rPr>
          <w:rFonts w:eastAsiaTheme="minorHAnsi" w:cstheme="minorHAnsi"/>
          <w:i/>
          <w:vertAlign w:val="subscript"/>
        </w:rPr>
        <w:t>T</w:t>
      </w:r>
      <w:r w:rsidRPr="001B2972">
        <w:rPr>
          <w:rFonts w:eastAsiaTheme="minorHAnsi" w:cstheme="minorHAnsi"/>
        </w:rPr>
        <w:tab/>
        <w:t xml:space="preserve">on kudoksen </w:t>
      </w:r>
      <w:r w:rsidRPr="001B2972">
        <w:rPr>
          <w:rFonts w:eastAsiaTheme="minorHAnsi" w:cstheme="minorHAnsi"/>
          <w:i/>
        </w:rPr>
        <w:t>T</w:t>
      </w:r>
      <w:r w:rsidRPr="001B2972">
        <w:rPr>
          <w:rFonts w:eastAsiaTheme="minorHAnsi" w:cstheme="minorHAnsi"/>
        </w:rPr>
        <w:t xml:space="preserve"> painotuskerroin</w:t>
      </w:r>
    </w:p>
    <w:p w14:paraId="2A40DE1B" w14:textId="77777777" w:rsidR="001B2972" w:rsidRPr="001B2972" w:rsidRDefault="001B2972" w:rsidP="001B2972">
      <w:pPr>
        <w:spacing w:after="0" w:line="240" w:lineRule="auto"/>
        <w:ind w:left="720"/>
        <w:jc w:val="both"/>
        <w:rPr>
          <w:rFonts w:eastAsiaTheme="minorHAnsi" w:cstheme="minorHAnsi"/>
        </w:rPr>
      </w:pPr>
      <w:r w:rsidRPr="001B2972">
        <w:rPr>
          <w:rFonts w:eastAsiaTheme="minorHAnsi" w:cstheme="minorHAnsi"/>
          <w:i/>
        </w:rPr>
        <w:t>H</w:t>
      </w:r>
      <w:r w:rsidRPr="001B2972">
        <w:rPr>
          <w:rFonts w:eastAsiaTheme="minorHAnsi" w:cstheme="minorHAnsi"/>
          <w:i/>
          <w:vertAlign w:val="subscript"/>
        </w:rPr>
        <w:t>T</w:t>
      </w:r>
      <w:r w:rsidRPr="001B2972">
        <w:rPr>
          <w:rFonts w:eastAsiaTheme="minorHAnsi" w:cstheme="minorHAnsi"/>
          <w:i/>
        </w:rPr>
        <w:t>(τ)</w:t>
      </w:r>
      <w:r w:rsidRPr="001B2972">
        <w:rPr>
          <w:rFonts w:eastAsiaTheme="minorHAnsi" w:cstheme="minorHAnsi"/>
        </w:rPr>
        <w:tab/>
        <w:t xml:space="preserve">on ekvivalenttiannoksen kertymä kudoksessa </w:t>
      </w:r>
      <w:r w:rsidRPr="001B2972">
        <w:rPr>
          <w:rFonts w:eastAsiaTheme="minorHAnsi" w:cstheme="minorHAnsi"/>
          <w:i/>
        </w:rPr>
        <w:t>T</w:t>
      </w:r>
      <w:r w:rsidRPr="001B2972">
        <w:rPr>
          <w:rFonts w:eastAsiaTheme="minorHAnsi" w:cstheme="minorHAnsi"/>
        </w:rPr>
        <w:t xml:space="preserve"> aikana </w:t>
      </w:r>
      <w:r w:rsidRPr="001B2972">
        <w:rPr>
          <w:rFonts w:eastAsiaTheme="minorHAnsi" w:cstheme="minorHAnsi"/>
          <w:i/>
        </w:rPr>
        <w:t>τ</w:t>
      </w:r>
      <w:r w:rsidRPr="001B2972">
        <w:rPr>
          <w:rFonts w:eastAsiaTheme="minorHAnsi" w:cstheme="minorHAnsi"/>
        </w:rPr>
        <w:t>. Aika τ</w:t>
      </w:r>
      <w:r w:rsidRPr="001B2972">
        <w:rPr>
          <w:rFonts w:eastAsiaTheme="minorHAnsi" w:cstheme="minorHAnsi"/>
          <w:i/>
          <w:iCs/>
        </w:rPr>
        <w:t xml:space="preserve">, </w:t>
      </w:r>
      <w:r w:rsidRPr="001B2972">
        <w:rPr>
          <w:rFonts w:eastAsiaTheme="minorHAnsi" w:cstheme="minorHAnsi"/>
        </w:rPr>
        <w:t>jona kertymä määritetään, on aikuisille 50 vuotta ja lapsille (70-n) vuotta, missä n on lapsen ikä.</w:t>
      </w:r>
    </w:p>
    <w:p w14:paraId="60258A38" w14:textId="77777777" w:rsidR="00A24A03" w:rsidRDefault="00A24A03" w:rsidP="001B2972">
      <w:pPr>
        <w:spacing w:after="0" w:line="240" w:lineRule="auto"/>
        <w:ind w:left="720"/>
        <w:jc w:val="both"/>
        <w:rPr>
          <w:rFonts w:eastAsiaTheme="minorHAnsi" w:cstheme="minorHAnsi"/>
        </w:rPr>
      </w:pPr>
    </w:p>
    <w:p w14:paraId="15956D9B" w14:textId="15EBBD57" w:rsidR="001B2972" w:rsidRPr="001B2972" w:rsidRDefault="001B2972" w:rsidP="001B2972">
      <w:pPr>
        <w:spacing w:after="0" w:line="240" w:lineRule="auto"/>
        <w:ind w:left="720"/>
        <w:jc w:val="both"/>
        <w:rPr>
          <w:rFonts w:eastAsiaTheme="minorHAnsi" w:cstheme="minorHAnsi"/>
        </w:rPr>
      </w:pPr>
      <w:r w:rsidRPr="001B2972">
        <w:rPr>
          <w:rFonts w:eastAsiaTheme="minorHAnsi" w:cstheme="minorHAnsi"/>
        </w:rPr>
        <w:t xml:space="preserve">Efektiivisen annoksen kertymä radioaktiivisen aineen saannin perusteella määritetään liitteessä </w:t>
      </w:r>
      <w:r w:rsidR="003B78BF">
        <w:rPr>
          <w:rFonts w:eastAsiaTheme="minorHAnsi" w:cstheme="minorHAnsi"/>
        </w:rPr>
        <w:t>3</w:t>
      </w:r>
      <w:r w:rsidR="003B78BF" w:rsidRPr="001B2972">
        <w:rPr>
          <w:rFonts w:eastAsiaTheme="minorHAnsi" w:cstheme="minorHAnsi"/>
        </w:rPr>
        <w:t xml:space="preserve"> </w:t>
      </w:r>
      <w:r w:rsidRPr="001B2972">
        <w:rPr>
          <w:rFonts w:eastAsiaTheme="minorHAnsi" w:cstheme="minorHAnsi"/>
        </w:rPr>
        <w:t>esitetyn mukaisesti.</w:t>
      </w:r>
    </w:p>
    <w:p w14:paraId="209A84D7" w14:textId="77777777" w:rsidR="001B2972" w:rsidRPr="001B2972" w:rsidRDefault="001B2972" w:rsidP="001B2972">
      <w:pPr>
        <w:spacing w:after="0" w:line="240" w:lineRule="auto"/>
        <w:ind w:left="720"/>
        <w:jc w:val="both"/>
        <w:rPr>
          <w:rFonts w:eastAsiaTheme="minorHAnsi" w:cstheme="minorHAnsi"/>
        </w:rPr>
      </w:pPr>
    </w:p>
    <w:p w14:paraId="4E7B0488" w14:textId="4340BCAC" w:rsidR="001B2972" w:rsidRPr="00A24A03" w:rsidRDefault="001B2972" w:rsidP="00A24A03">
      <w:pPr>
        <w:numPr>
          <w:ilvl w:val="0"/>
          <w:numId w:val="39"/>
        </w:numPr>
        <w:spacing w:after="0" w:line="240" w:lineRule="auto"/>
        <w:jc w:val="both"/>
        <w:rPr>
          <w:rFonts w:eastAsiaTheme="minorHAnsi" w:cstheme="minorHAnsi"/>
        </w:rPr>
      </w:pPr>
      <w:r w:rsidRPr="001B2972">
        <w:rPr>
          <w:rFonts w:eastAsiaTheme="minorHAnsi" w:cstheme="minorHAnsi"/>
          <w:i/>
          <w:iCs/>
        </w:rPr>
        <w:t>aktiivisuuspitoisuus</w:t>
      </w:r>
      <w:r w:rsidRPr="001B2972">
        <w:rPr>
          <w:rFonts w:eastAsiaTheme="minorHAnsi" w:cstheme="minorHAnsi"/>
        </w:rPr>
        <w:t xml:space="preserve"> </w:t>
      </w:r>
      <w:r w:rsidRPr="001B2972">
        <w:rPr>
          <w:rFonts w:eastAsiaTheme="minorHAnsi" w:cstheme="minorHAnsi"/>
          <w:i/>
        </w:rPr>
        <w:t>c, jolla tarkoitetaan</w:t>
      </w:r>
      <w:r w:rsidRPr="001B2972">
        <w:rPr>
          <w:rFonts w:eastAsiaTheme="minorHAnsi" w:cstheme="minorHAnsi"/>
        </w:rPr>
        <w:t xml:space="preserve"> tarkasteltavassa tilavuudessa tai ainemäärässä olevan radioaktiivisen aineen aktiivisuutta </w:t>
      </w:r>
      <w:r w:rsidRPr="001B2972">
        <w:rPr>
          <w:rFonts w:eastAsiaTheme="minorHAnsi" w:cstheme="minorHAnsi"/>
          <w:i/>
        </w:rPr>
        <w:t>A</w:t>
      </w:r>
      <w:r w:rsidRPr="001B2972">
        <w:rPr>
          <w:rFonts w:eastAsiaTheme="minorHAnsi" w:cstheme="minorHAnsi"/>
        </w:rPr>
        <w:t xml:space="preserve"> jaettuna tällä tilavuudella </w:t>
      </w:r>
      <w:r w:rsidRPr="001B2972">
        <w:rPr>
          <w:rFonts w:eastAsiaTheme="minorHAnsi" w:cstheme="minorHAnsi"/>
          <w:i/>
        </w:rPr>
        <w:t>V</w:t>
      </w:r>
      <w:r w:rsidRPr="001B2972">
        <w:rPr>
          <w:rFonts w:eastAsiaTheme="minorHAnsi" w:cstheme="minorHAnsi"/>
        </w:rPr>
        <w:t xml:space="preserve"> tai tämän ainemäärän massalla</w:t>
      </w:r>
      <w:r w:rsidRPr="001B2972">
        <w:rPr>
          <w:rFonts w:eastAsiaTheme="minorHAnsi" w:cstheme="minorHAnsi"/>
          <w:i/>
        </w:rPr>
        <w:t xml:space="preserve"> m</w:t>
      </w:r>
      <w:r w:rsidRPr="001B2972">
        <w:rPr>
          <w:rFonts w:eastAsiaTheme="minorHAnsi" w:cstheme="minorHAnsi"/>
        </w:rPr>
        <w:t>:</w:t>
      </w:r>
    </w:p>
    <w:p w14:paraId="6069C041" w14:textId="77777777" w:rsidR="001B2972" w:rsidRPr="001B2972" w:rsidRDefault="001B2972" w:rsidP="001B2972">
      <w:pPr>
        <w:spacing w:after="0" w:line="240" w:lineRule="auto"/>
        <w:ind w:left="720"/>
        <w:jc w:val="both"/>
        <w:rPr>
          <w:rFonts w:eastAsiaTheme="minorHAnsi" w:cstheme="minorHAnsi"/>
        </w:rPr>
      </w:pPr>
      <w:r w:rsidRPr="001B2972">
        <w:rPr>
          <w:rFonts w:eastAsiaTheme="minorHAnsi" w:cstheme="minorHAnsi"/>
          <w:b/>
        </w:rPr>
        <w:object w:dxaOrig="680" w:dyaOrig="520" w14:anchorId="7B2F2B63">
          <v:shape id="_x0000_i1036" type="#_x0000_t75" style="width:34.45pt;height:26.9pt" o:ole="">
            <v:imagedata r:id="rId34" o:title=""/>
          </v:shape>
          <o:OLEObject Type="Embed" ProgID="Equation.2" ShapeID="_x0000_i1036" DrawAspect="Content" ObjectID="_1562583948" r:id="rId35"/>
        </w:object>
      </w:r>
      <w:r w:rsidRPr="001B2972">
        <w:rPr>
          <w:rFonts w:eastAsiaTheme="minorHAnsi" w:cstheme="minorHAnsi"/>
          <w:b/>
        </w:rPr>
        <w:t xml:space="preserve"> </w:t>
      </w:r>
      <w:r w:rsidRPr="001B2972">
        <w:rPr>
          <w:rFonts w:eastAsiaTheme="minorHAnsi" w:cstheme="minorHAnsi"/>
        </w:rPr>
        <w:t>tai</w:t>
      </w:r>
      <w:r w:rsidRPr="001B2972">
        <w:rPr>
          <w:rFonts w:eastAsiaTheme="minorHAnsi" w:cstheme="minorHAnsi"/>
          <w:b/>
        </w:rPr>
        <w:t xml:space="preserve">  </w:t>
      </w:r>
      <w:r w:rsidRPr="001B2972">
        <w:rPr>
          <w:rFonts w:eastAsiaTheme="minorHAnsi" w:cstheme="minorHAnsi"/>
          <w:b/>
        </w:rPr>
        <w:object w:dxaOrig="639" w:dyaOrig="620" w14:anchorId="5BA0637C">
          <v:shape id="_x0000_i1037" type="#_x0000_t75" style="width:31.3pt;height:30.7pt" o:ole="">
            <v:imagedata r:id="rId36" o:title=""/>
          </v:shape>
          <o:OLEObject Type="Embed" ProgID="Equation.3" ShapeID="_x0000_i1037" DrawAspect="Content" ObjectID="_1562583949" r:id="rId37"/>
        </w:object>
      </w:r>
      <w:r w:rsidRPr="001B2972">
        <w:rPr>
          <w:rFonts w:eastAsiaTheme="minorHAnsi" w:cstheme="minorHAnsi"/>
        </w:rPr>
        <w:tab/>
      </w:r>
      <w:r w:rsidRPr="001B2972">
        <w:rPr>
          <w:rFonts w:eastAsiaTheme="minorHAnsi" w:cstheme="minorHAnsi"/>
        </w:rPr>
        <w:tab/>
      </w:r>
      <w:r w:rsidRPr="001B2972">
        <w:rPr>
          <w:rFonts w:eastAsiaTheme="minorHAnsi" w:cstheme="minorHAnsi"/>
        </w:rPr>
        <w:tab/>
      </w:r>
      <w:r w:rsidRPr="001B2972">
        <w:rPr>
          <w:rFonts w:eastAsiaTheme="minorHAnsi" w:cstheme="minorHAnsi"/>
        </w:rPr>
        <w:tab/>
      </w:r>
    </w:p>
    <w:p w14:paraId="52A18D85" w14:textId="77777777" w:rsidR="001B2972" w:rsidRPr="001B2972" w:rsidRDefault="001B2972" w:rsidP="001B2972">
      <w:pPr>
        <w:spacing w:after="0" w:line="240" w:lineRule="auto"/>
        <w:jc w:val="both"/>
        <w:rPr>
          <w:rFonts w:eastAsiaTheme="minorHAnsi" w:cstheme="minorHAnsi"/>
        </w:rPr>
      </w:pPr>
    </w:p>
    <w:p w14:paraId="1ABEFDDC" w14:textId="77777777" w:rsidR="001B2972" w:rsidRPr="001B2972" w:rsidRDefault="001B2972" w:rsidP="001B2972">
      <w:pPr>
        <w:spacing w:after="0" w:line="240" w:lineRule="auto"/>
        <w:jc w:val="both"/>
        <w:rPr>
          <w:rFonts w:eastAsiaTheme="minorHAnsi" w:cstheme="minorHAnsi"/>
        </w:rPr>
      </w:pPr>
      <w:r w:rsidRPr="001B2972">
        <w:rPr>
          <w:rFonts w:eastAsiaTheme="minorHAnsi" w:cstheme="minorHAnsi"/>
        </w:rPr>
        <w:t>Ionisoivan säteilyn suureille käytetään seuraavia yksiköitä ja tunnuksia:</w:t>
      </w:r>
    </w:p>
    <w:p w14:paraId="2C1DB2E5" w14:textId="77777777" w:rsidR="001B2972" w:rsidRPr="001B2972" w:rsidRDefault="001B2972" w:rsidP="001B2972">
      <w:pPr>
        <w:spacing w:after="0" w:line="240" w:lineRule="auto"/>
        <w:jc w:val="both"/>
        <w:rPr>
          <w:rFonts w:eastAsiaTheme="minorHAnsi" w:cstheme="minorHAnsi"/>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24"/>
        <w:gridCol w:w="3192"/>
        <w:gridCol w:w="2099"/>
      </w:tblGrid>
      <w:tr w:rsidR="001B2972" w:rsidRPr="001B2972" w14:paraId="64A5E727" w14:textId="77777777" w:rsidTr="00A26630">
        <w:trPr>
          <w:tblCellSpacing w:w="15" w:type="dxa"/>
        </w:trPr>
        <w:tc>
          <w:tcPr>
            <w:tcW w:w="0" w:type="auto"/>
            <w:vAlign w:val="center"/>
            <w:hideMark/>
          </w:tcPr>
          <w:p w14:paraId="0A64CA18" w14:textId="77777777" w:rsidR="001B2972" w:rsidRPr="001B2972" w:rsidRDefault="001B2972" w:rsidP="001B2972">
            <w:pPr>
              <w:spacing w:after="0" w:line="240" w:lineRule="auto"/>
              <w:jc w:val="both"/>
              <w:rPr>
                <w:rFonts w:eastAsiaTheme="minorHAnsi" w:cstheme="minorHAnsi"/>
              </w:rPr>
            </w:pPr>
            <w:r w:rsidRPr="001B2972">
              <w:rPr>
                <w:rFonts w:eastAsiaTheme="minorHAnsi" w:cstheme="minorHAnsi"/>
              </w:rPr>
              <w:t> </w:t>
            </w:r>
            <w:r w:rsidRPr="001B2972">
              <w:rPr>
                <w:rFonts w:eastAsiaTheme="minorHAnsi" w:cstheme="minorHAnsi"/>
              </w:rPr>
              <w:t>Suure</w:t>
            </w:r>
          </w:p>
        </w:tc>
        <w:tc>
          <w:tcPr>
            <w:tcW w:w="0" w:type="auto"/>
            <w:vAlign w:val="center"/>
            <w:hideMark/>
          </w:tcPr>
          <w:p w14:paraId="57A9B875" w14:textId="77777777" w:rsidR="001B2972" w:rsidRPr="001B2972" w:rsidRDefault="001B2972" w:rsidP="001B2972">
            <w:pPr>
              <w:spacing w:after="0" w:line="240" w:lineRule="auto"/>
              <w:jc w:val="both"/>
              <w:rPr>
                <w:rFonts w:eastAsiaTheme="minorHAnsi" w:cstheme="minorHAnsi"/>
              </w:rPr>
            </w:pPr>
            <w:r w:rsidRPr="001B2972">
              <w:rPr>
                <w:rFonts w:eastAsiaTheme="minorHAnsi" w:cstheme="minorHAnsi"/>
              </w:rPr>
              <w:t>Yksikkö</w:t>
            </w:r>
          </w:p>
        </w:tc>
        <w:tc>
          <w:tcPr>
            <w:tcW w:w="0" w:type="auto"/>
            <w:vAlign w:val="center"/>
            <w:hideMark/>
          </w:tcPr>
          <w:p w14:paraId="2516541F" w14:textId="77777777" w:rsidR="001B2972" w:rsidRPr="001B2972" w:rsidRDefault="001B2972" w:rsidP="001B2972">
            <w:pPr>
              <w:spacing w:after="0" w:line="240" w:lineRule="auto"/>
              <w:jc w:val="both"/>
              <w:rPr>
                <w:rFonts w:eastAsiaTheme="minorHAnsi" w:cstheme="minorHAnsi"/>
              </w:rPr>
            </w:pPr>
            <w:r w:rsidRPr="001B2972">
              <w:rPr>
                <w:rFonts w:eastAsiaTheme="minorHAnsi" w:cstheme="minorHAnsi"/>
              </w:rPr>
              <w:t>Tunnus ja selitys</w:t>
            </w:r>
          </w:p>
        </w:tc>
      </w:tr>
      <w:tr w:rsidR="001B2972" w:rsidRPr="001B2972" w14:paraId="4F02804A" w14:textId="77777777" w:rsidTr="00A26630">
        <w:trPr>
          <w:tblCellSpacing w:w="15" w:type="dxa"/>
        </w:trPr>
        <w:tc>
          <w:tcPr>
            <w:tcW w:w="0" w:type="auto"/>
            <w:vAlign w:val="center"/>
            <w:hideMark/>
          </w:tcPr>
          <w:p w14:paraId="4BA19E5B" w14:textId="77777777" w:rsidR="001B2972" w:rsidRPr="001B2972" w:rsidRDefault="001B2972" w:rsidP="001B2972">
            <w:pPr>
              <w:spacing w:after="0" w:line="240" w:lineRule="auto"/>
              <w:jc w:val="both"/>
              <w:rPr>
                <w:rFonts w:eastAsiaTheme="minorHAnsi" w:cstheme="minorHAnsi"/>
              </w:rPr>
            </w:pPr>
            <w:r w:rsidRPr="001B2972">
              <w:rPr>
                <w:rFonts w:eastAsiaTheme="minorHAnsi" w:cstheme="minorHAnsi"/>
              </w:rPr>
              <w:t> </w:t>
            </w:r>
            <w:r w:rsidRPr="001B2972">
              <w:rPr>
                <w:rFonts w:eastAsiaTheme="minorHAnsi" w:cstheme="minorHAnsi"/>
              </w:rPr>
              <w:t>absorboituneen annoksen nopeus</w:t>
            </w:r>
          </w:p>
        </w:tc>
        <w:tc>
          <w:tcPr>
            <w:tcW w:w="0" w:type="auto"/>
            <w:vAlign w:val="center"/>
            <w:hideMark/>
          </w:tcPr>
          <w:p w14:paraId="1244E513" w14:textId="77777777" w:rsidR="001B2972" w:rsidRPr="001B2972" w:rsidRDefault="001B2972" w:rsidP="001B2972">
            <w:pPr>
              <w:spacing w:after="0" w:line="240" w:lineRule="auto"/>
              <w:jc w:val="both"/>
              <w:rPr>
                <w:rFonts w:eastAsiaTheme="minorHAnsi" w:cstheme="minorHAnsi"/>
              </w:rPr>
            </w:pPr>
            <w:r w:rsidRPr="001B2972">
              <w:rPr>
                <w:rFonts w:eastAsiaTheme="minorHAnsi" w:cstheme="minorHAnsi"/>
              </w:rPr>
              <w:t xml:space="preserve">gray aikayksikköä kohti </w:t>
            </w:r>
          </w:p>
        </w:tc>
        <w:tc>
          <w:tcPr>
            <w:tcW w:w="0" w:type="auto"/>
            <w:vAlign w:val="center"/>
            <w:hideMark/>
          </w:tcPr>
          <w:p w14:paraId="7814BF79" w14:textId="77777777" w:rsidR="001B2972" w:rsidRPr="001B2972" w:rsidRDefault="001B2972" w:rsidP="001B2972">
            <w:pPr>
              <w:spacing w:after="0" w:line="240" w:lineRule="auto"/>
              <w:jc w:val="both"/>
              <w:rPr>
                <w:rFonts w:eastAsiaTheme="minorHAnsi" w:cstheme="minorHAnsi"/>
              </w:rPr>
            </w:pPr>
            <w:r w:rsidRPr="001B2972">
              <w:rPr>
                <w:rFonts w:eastAsiaTheme="minorHAnsi" w:cstheme="minorHAnsi"/>
              </w:rPr>
              <w:t>Gy/h tai Gy/min tai Gy/s</w:t>
            </w:r>
          </w:p>
        </w:tc>
      </w:tr>
      <w:tr w:rsidR="001B2972" w:rsidRPr="001B2972" w14:paraId="07BFD531" w14:textId="77777777" w:rsidTr="00A26630">
        <w:trPr>
          <w:tblCellSpacing w:w="15" w:type="dxa"/>
        </w:trPr>
        <w:tc>
          <w:tcPr>
            <w:tcW w:w="0" w:type="auto"/>
            <w:vAlign w:val="center"/>
            <w:hideMark/>
          </w:tcPr>
          <w:p w14:paraId="2E006FF9" w14:textId="77777777" w:rsidR="001B2972" w:rsidRPr="001B2972" w:rsidRDefault="001B2972" w:rsidP="001B2972">
            <w:pPr>
              <w:spacing w:after="0" w:line="240" w:lineRule="auto"/>
              <w:jc w:val="both"/>
              <w:rPr>
                <w:rFonts w:eastAsiaTheme="minorHAnsi" w:cstheme="minorHAnsi"/>
              </w:rPr>
            </w:pPr>
            <w:r w:rsidRPr="001B2972">
              <w:rPr>
                <w:rFonts w:eastAsiaTheme="minorHAnsi" w:cstheme="minorHAnsi"/>
              </w:rPr>
              <w:t> </w:t>
            </w:r>
            <w:r w:rsidRPr="001B2972">
              <w:rPr>
                <w:rFonts w:eastAsiaTheme="minorHAnsi" w:cstheme="minorHAnsi"/>
              </w:rPr>
              <w:t>kudoksen tai elimen keskimääräinen absorboitunut annos</w:t>
            </w:r>
          </w:p>
        </w:tc>
        <w:tc>
          <w:tcPr>
            <w:tcW w:w="0" w:type="auto"/>
            <w:vAlign w:val="center"/>
            <w:hideMark/>
          </w:tcPr>
          <w:p w14:paraId="61D47C2C" w14:textId="77777777" w:rsidR="001B2972" w:rsidRPr="001B2972" w:rsidRDefault="001B2972" w:rsidP="001B2972">
            <w:pPr>
              <w:spacing w:after="0" w:line="240" w:lineRule="auto"/>
              <w:jc w:val="both"/>
              <w:rPr>
                <w:rFonts w:eastAsiaTheme="minorHAnsi" w:cstheme="minorHAnsi"/>
              </w:rPr>
            </w:pPr>
            <w:r w:rsidRPr="001B2972">
              <w:rPr>
                <w:rFonts w:eastAsiaTheme="minorHAnsi" w:cstheme="minorHAnsi"/>
              </w:rPr>
              <w:t>grey</w:t>
            </w:r>
          </w:p>
        </w:tc>
        <w:tc>
          <w:tcPr>
            <w:tcW w:w="0" w:type="auto"/>
            <w:vAlign w:val="center"/>
            <w:hideMark/>
          </w:tcPr>
          <w:p w14:paraId="2FAC8039" w14:textId="77777777" w:rsidR="001B2972" w:rsidRPr="001B2972" w:rsidRDefault="001B2972" w:rsidP="001B2972">
            <w:pPr>
              <w:spacing w:after="0" w:line="240" w:lineRule="auto"/>
              <w:jc w:val="both"/>
              <w:rPr>
                <w:rFonts w:eastAsiaTheme="minorHAnsi" w:cstheme="minorHAnsi"/>
                <w:vertAlign w:val="superscript"/>
              </w:rPr>
            </w:pPr>
            <w:r w:rsidRPr="001B2972">
              <w:rPr>
                <w:rFonts w:eastAsiaTheme="minorHAnsi" w:cstheme="minorHAnsi"/>
              </w:rPr>
              <w:t>Gy. 1 Gy = 1 J kg</w:t>
            </w:r>
            <w:r w:rsidRPr="001B2972">
              <w:rPr>
                <w:rFonts w:eastAsiaTheme="minorHAnsi" w:cstheme="minorHAnsi"/>
                <w:vertAlign w:val="superscript"/>
              </w:rPr>
              <w:t>-1</w:t>
            </w:r>
          </w:p>
        </w:tc>
      </w:tr>
      <w:tr w:rsidR="001B2972" w:rsidRPr="001B2972" w14:paraId="51A5C25A" w14:textId="77777777" w:rsidTr="00A26630">
        <w:trPr>
          <w:tblCellSpacing w:w="15" w:type="dxa"/>
        </w:trPr>
        <w:tc>
          <w:tcPr>
            <w:tcW w:w="0" w:type="auto"/>
            <w:vAlign w:val="center"/>
          </w:tcPr>
          <w:p w14:paraId="65625B0B" w14:textId="77777777" w:rsidR="001B2972" w:rsidRPr="001B2972" w:rsidRDefault="001B2972" w:rsidP="001B2972">
            <w:pPr>
              <w:spacing w:after="0" w:line="240" w:lineRule="auto"/>
              <w:jc w:val="both"/>
              <w:rPr>
                <w:rFonts w:eastAsiaTheme="minorHAnsi" w:cstheme="minorHAnsi"/>
              </w:rPr>
            </w:pPr>
            <w:r w:rsidRPr="001B2972">
              <w:rPr>
                <w:rFonts w:eastAsiaTheme="minorHAnsi" w:cstheme="minorHAnsi"/>
              </w:rPr>
              <w:t xml:space="preserve">  ekvivalenttiannos</w:t>
            </w:r>
          </w:p>
        </w:tc>
        <w:tc>
          <w:tcPr>
            <w:tcW w:w="0" w:type="auto"/>
            <w:vAlign w:val="center"/>
          </w:tcPr>
          <w:p w14:paraId="094B8F37" w14:textId="77777777" w:rsidR="001B2972" w:rsidRPr="001B2972" w:rsidRDefault="001B2972" w:rsidP="001B2972">
            <w:pPr>
              <w:spacing w:after="0" w:line="240" w:lineRule="auto"/>
              <w:jc w:val="both"/>
              <w:rPr>
                <w:rFonts w:eastAsiaTheme="minorHAnsi" w:cstheme="minorHAnsi"/>
              </w:rPr>
            </w:pPr>
            <w:r w:rsidRPr="001B2972">
              <w:rPr>
                <w:rFonts w:eastAsiaTheme="minorHAnsi" w:cstheme="minorHAnsi"/>
              </w:rPr>
              <w:t>sievert</w:t>
            </w:r>
          </w:p>
        </w:tc>
        <w:tc>
          <w:tcPr>
            <w:tcW w:w="0" w:type="auto"/>
            <w:vAlign w:val="center"/>
          </w:tcPr>
          <w:p w14:paraId="32C1D8C5" w14:textId="77777777" w:rsidR="001B2972" w:rsidRPr="001B2972" w:rsidRDefault="001B2972" w:rsidP="001B2972">
            <w:pPr>
              <w:spacing w:after="0" w:line="240" w:lineRule="auto"/>
              <w:jc w:val="both"/>
              <w:rPr>
                <w:rFonts w:eastAsiaTheme="minorHAnsi" w:cstheme="minorHAnsi"/>
              </w:rPr>
            </w:pPr>
            <w:r w:rsidRPr="001B2972">
              <w:rPr>
                <w:rFonts w:eastAsiaTheme="minorHAnsi" w:cstheme="minorHAnsi"/>
              </w:rPr>
              <w:t>Sv. 1 Sv = 1 J kg</w:t>
            </w:r>
            <w:r w:rsidRPr="001B2972">
              <w:rPr>
                <w:rFonts w:eastAsiaTheme="minorHAnsi" w:cstheme="minorHAnsi"/>
                <w:vertAlign w:val="superscript"/>
              </w:rPr>
              <w:t>-1</w:t>
            </w:r>
          </w:p>
        </w:tc>
      </w:tr>
      <w:tr w:rsidR="001B2972" w:rsidRPr="001B2972" w14:paraId="1CD79BEB" w14:textId="77777777" w:rsidTr="00A26630">
        <w:trPr>
          <w:tblCellSpacing w:w="15" w:type="dxa"/>
        </w:trPr>
        <w:tc>
          <w:tcPr>
            <w:tcW w:w="0" w:type="auto"/>
            <w:vAlign w:val="center"/>
            <w:hideMark/>
          </w:tcPr>
          <w:p w14:paraId="5F1DC6CB" w14:textId="77777777" w:rsidR="001B2972" w:rsidRPr="001B2972" w:rsidRDefault="001B2972" w:rsidP="001B2972">
            <w:pPr>
              <w:spacing w:after="0" w:line="240" w:lineRule="auto"/>
              <w:jc w:val="both"/>
              <w:rPr>
                <w:rFonts w:eastAsiaTheme="minorHAnsi" w:cstheme="minorHAnsi"/>
              </w:rPr>
            </w:pPr>
            <w:r w:rsidRPr="001B2972">
              <w:rPr>
                <w:rFonts w:eastAsiaTheme="minorHAnsi" w:cstheme="minorHAnsi"/>
              </w:rPr>
              <w:t> </w:t>
            </w:r>
            <w:r w:rsidRPr="001B2972">
              <w:rPr>
                <w:rFonts w:eastAsiaTheme="minorHAnsi" w:cstheme="minorHAnsi"/>
              </w:rPr>
              <w:t>ekvivalenttiannosnopeus</w:t>
            </w:r>
          </w:p>
        </w:tc>
        <w:tc>
          <w:tcPr>
            <w:tcW w:w="0" w:type="auto"/>
            <w:vAlign w:val="center"/>
            <w:hideMark/>
          </w:tcPr>
          <w:p w14:paraId="14603A42" w14:textId="77777777" w:rsidR="001B2972" w:rsidRPr="001B2972" w:rsidRDefault="001B2972" w:rsidP="001B2972">
            <w:pPr>
              <w:spacing w:after="0" w:line="240" w:lineRule="auto"/>
              <w:jc w:val="both"/>
              <w:rPr>
                <w:rFonts w:eastAsiaTheme="minorHAnsi" w:cstheme="minorHAnsi"/>
              </w:rPr>
            </w:pPr>
            <w:r w:rsidRPr="001B2972">
              <w:rPr>
                <w:rFonts w:eastAsiaTheme="minorHAnsi" w:cstheme="minorHAnsi"/>
              </w:rPr>
              <w:t>sievert aikayksikköä kohti</w:t>
            </w:r>
          </w:p>
        </w:tc>
        <w:tc>
          <w:tcPr>
            <w:tcW w:w="0" w:type="auto"/>
            <w:vAlign w:val="center"/>
            <w:hideMark/>
          </w:tcPr>
          <w:p w14:paraId="4AA7A7A7" w14:textId="77777777" w:rsidR="001B2972" w:rsidRPr="001B2972" w:rsidRDefault="001B2972" w:rsidP="001B2972">
            <w:pPr>
              <w:spacing w:after="0" w:line="240" w:lineRule="auto"/>
              <w:jc w:val="both"/>
              <w:rPr>
                <w:rFonts w:eastAsiaTheme="minorHAnsi" w:cstheme="minorHAnsi"/>
              </w:rPr>
            </w:pPr>
            <w:r w:rsidRPr="001B2972">
              <w:rPr>
                <w:rFonts w:eastAsiaTheme="minorHAnsi" w:cstheme="minorHAnsi"/>
              </w:rPr>
              <w:t xml:space="preserve">Sv/h tai Sv/min tai Sv/s. </w:t>
            </w:r>
          </w:p>
        </w:tc>
      </w:tr>
      <w:tr w:rsidR="001B2972" w:rsidRPr="001B2972" w14:paraId="7246BFA3" w14:textId="77777777" w:rsidTr="00A26630">
        <w:trPr>
          <w:tblCellSpacing w:w="15" w:type="dxa"/>
        </w:trPr>
        <w:tc>
          <w:tcPr>
            <w:tcW w:w="0" w:type="auto"/>
            <w:vAlign w:val="center"/>
            <w:hideMark/>
          </w:tcPr>
          <w:p w14:paraId="16854F94" w14:textId="77777777" w:rsidR="001B2972" w:rsidRPr="001B2972" w:rsidRDefault="001B2972" w:rsidP="001B2972">
            <w:pPr>
              <w:spacing w:after="0" w:line="240" w:lineRule="auto"/>
              <w:jc w:val="both"/>
              <w:rPr>
                <w:rFonts w:eastAsiaTheme="minorHAnsi" w:cstheme="minorHAnsi"/>
              </w:rPr>
            </w:pPr>
            <w:r w:rsidRPr="001B2972">
              <w:rPr>
                <w:rFonts w:eastAsiaTheme="minorHAnsi" w:cstheme="minorHAnsi"/>
              </w:rPr>
              <w:t> </w:t>
            </w:r>
            <w:r w:rsidRPr="001B2972">
              <w:rPr>
                <w:rFonts w:eastAsiaTheme="minorHAnsi" w:cstheme="minorHAnsi"/>
              </w:rPr>
              <w:t>efektiivinen annos</w:t>
            </w:r>
          </w:p>
        </w:tc>
        <w:tc>
          <w:tcPr>
            <w:tcW w:w="0" w:type="auto"/>
            <w:vAlign w:val="center"/>
            <w:hideMark/>
          </w:tcPr>
          <w:p w14:paraId="134AA601" w14:textId="77777777" w:rsidR="001B2972" w:rsidRPr="001B2972" w:rsidRDefault="001B2972" w:rsidP="001B2972">
            <w:pPr>
              <w:spacing w:after="0" w:line="240" w:lineRule="auto"/>
              <w:jc w:val="both"/>
              <w:rPr>
                <w:rFonts w:eastAsiaTheme="minorHAnsi" w:cstheme="minorHAnsi"/>
              </w:rPr>
            </w:pPr>
            <w:r w:rsidRPr="001B2972">
              <w:rPr>
                <w:rFonts w:eastAsiaTheme="minorHAnsi" w:cstheme="minorHAnsi"/>
              </w:rPr>
              <w:t>sievert</w:t>
            </w:r>
          </w:p>
        </w:tc>
        <w:tc>
          <w:tcPr>
            <w:tcW w:w="0" w:type="auto"/>
            <w:vAlign w:val="center"/>
            <w:hideMark/>
          </w:tcPr>
          <w:p w14:paraId="31CF218C" w14:textId="77777777" w:rsidR="001B2972" w:rsidRPr="001B2972" w:rsidRDefault="001B2972" w:rsidP="001B2972">
            <w:pPr>
              <w:spacing w:after="0" w:line="240" w:lineRule="auto"/>
              <w:jc w:val="both"/>
              <w:rPr>
                <w:rFonts w:eastAsiaTheme="minorHAnsi" w:cstheme="minorHAnsi"/>
              </w:rPr>
            </w:pPr>
            <w:r w:rsidRPr="001B2972">
              <w:rPr>
                <w:rFonts w:eastAsiaTheme="minorHAnsi" w:cstheme="minorHAnsi"/>
              </w:rPr>
              <w:t>Sv. 1 Sv = 1 J kg</w:t>
            </w:r>
            <w:r w:rsidRPr="001B2972">
              <w:rPr>
                <w:rFonts w:eastAsiaTheme="minorHAnsi" w:cstheme="minorHAnsi"/>
                <w:vertAlign w:val="superscript"/>
              </w:rPr>
              <w:t>-1</w:t>
            </w:r>
          </w:p>
        </w:tc>
      </w:tr>
      <w:tr w:rsidR="001B2972" w:rsidRPr="001B2972" w14:paraId="734030CB" w14:textId="77777777" w:rsidTr="00A26630">
        <w:trPr>
          <w:tblCellSpacing w:w="15" w:type="dxa"/>
        </w:trPr>
        <w:tc>
          <w:tcPr>
            <w:tcW w:w="0" w:type="auto"/>
            <w:vAlign w:val="center"/>
            <w:hideMark/>
          </w:tcPr>
          <w:p w14:paraId="1F32D0DE" w14:textId="77777777" w:rsidR="001B2972" w:rsidRPr="001B2972" w:rsidRDefault="001B2972" w:rsidP="001B2972">
            <w:pPr>
              <w:spacing w:after="0" w:line="240" w:lineRule="auto"/>
              <w:jc w:val="both"/>
              <w:rPr>
                <w:rFonts w:eastAsiaTheme="minorHAnsi" w:cstheme="minorHAnsi"/>
              </w:rPr>
            </w:pPr>
            <w:r w:rsidRPr="001B2972">
              <w:rPr>
                <w:rFonts w:eastAsiaTheme="minorHAnsi" w:cstheme="minorHAnsi"/>
              </w:rPr>
              <w:t> </w:t>
            </w:r>
            <w:r w:rsidRPr="001B2972">
              <w:rPr>
                <w:rFonts w:eastAsiaTheme="minorHAnsi" w:cstheme="minorHAnsi"/>
              </w:rPr>
              <w:t>ekvivalenttiannoksen annoksen kertymä</w:t>
            </w:r>
          </w:p>
        </w:tc>
        <w:tc>
          <w:tcPr>
            <w:tcW w:w="0" w:type="auto"/>
            <w:vAlign w:val="center"/>
            <w:hideMark/>
          </w:tcPr>
          <w:p w14:paraId="7B83A9D7" w14:textId="77777777" w:rsidR="001B2972" w:rsidRPr="001B2972" w:rsidRDefault="001B2972" w:rsidP="001B2972">
            <w:pPr>
              <w:spacing w:after="0" w:line="240" w:lineRule="auto"/>
              <w:jc w:val="both"/>
              <w:rPr>
                <w:rFonts w:eastAsiaTheme="minorHAnsi" w:cstheme="minorHAnsi"/>
              </w:rPr>
            </w:pPr>
            <w:r w:rsidRPr="001B2972">
              <w:rPr>
                <w:rFonts w:eastAsiaTheme="minorHAnsi" w:cstheme="minorHAnsi"/>
              </w:rPr>
              <w:t>sievert</w:t>
            </w:r>
          </w:p>
        </w:tc>
        <w:tc>
          <w:tcPr>
            <w:tcW w:w="0" w:type="auto"/>
            <w:vAlign w:val="center"/>
            <w:hideMark/>
          </w:tcPr>
          <w:p w14:paraId="05178B1B" w14:textId="77777777" w:rsidR="001B2972" w:rsidRPr="001B2972" w:rsidRDefault="001B2972" w:rsidP="001B2972">
            <w:pPr>
              <w:spacing w:after="0" w:line="240" w:lineRule="auto"/>
              <w:jc w:val="both"/>
              <w:rPr>
                <w:rFonts w:eastAsiaTheme="minorHAnsi" w:cstheme="minorHAnsi"/>
              </w:rPr>
            </w:pPr>
            <w:r w:rsidRPr="001B2972">
              <w:rPr>
                <w:rFonts w:eastAsiaTheme="minorHAnsi" w:cstheme="minorHAnsi"/>
              </w:rPr>
              <w:t>Sv. 1 Sv = 1 J kg</w:t>
            </w:r>
            <w:r w:rsidRPr="001B2972">
              <w:rPr>
                <w:rFonts w:eastAsiaTheme="minorHAnsi" w:cstheme="minorHAnsi"/>
                <w:vertAlign w:val="superscript"/>
              </w:rPr>
              <w:t>-1</w:t>
            </w:r>
          </w:p>
        </w:tc>
      </w:tr>
      <w:tr w:rsidR="001B2972" w:rsidRPr="001B2972" w14:paraId="2D5F2461" w14:textId="77777777" w:rsidTr="00A26630">
        <w:trPr>
          <w:tblCellSpacing w:w="15" w:type="dxa"/>
        </w:trPr>
        <w:tc>
          <w:tcPr>
            <w:tcW w:w="0" w:type="auto"/>
            <w:vAlign w:val="center"/>
            <w:hideMark/>
          </w:tcPr>
          <w:p w14:paraId="009CDF79" w14:textId="77777777" w:rsidR="001B2972" w:rsidRPr="001B2972" w:rsidRDefault="001B2972" w:rsidP="001B2972">
            <w:pPr>
              <w:spacing w:after="0" w:line="240" w:lineRule="auto"/>
              <w:jc w:val="both"/>
              <w:rPr>
                <w:rFonts w:eastAsiaTheme="minorHAnsi" w:cstheme="minorHAnsi"/>
              </w:rPr>
            </w:pPr>
            <w:r w:rsidRPr="001B2972">
              <w:rPr>
                <w:rFonts w:eastAsiaTheme="minorHAnsi" w:cstheme="minorHAnsi"/>
              </w:rPr>
              <w:t> </w:t>
            </w:r>
            <w:r w:rsidRPr="001B2972">
              <w:rPr>
                <w:rFonts w:eastAsiaTheme="minorHAnsi" w:cstheme="minorHAnsi"/>
              </w:rPr>
              <w:t>efektiivisen annoksen kertymä</w:t>
            </w:r>
          </w:p>
        </w:tc>
        <w:tc>
          <w:tcPr>
            <w:tcW w:w="0" w:type="auto"/>
            <w:vAlign w:val="center"/>
            <w:hideMark/>
          </w:tcPr>
          <w:p w14:paraId="1D35E4E0" w14:textId="77777777" w:rsidR="001B2972" w:rsidRPr="001B2972" w:rsidRDefault="001B2972" w:rsidP="001B2972">
            <w:pPr>
              <w:spacing w:after="0" w:line="240" w:lineRule="auto"/>
              <w:jc w:val="both"/>
              <w:rPr>
                <w:rFonts w:eastAsiaTheme="minorHAnsi" w:cstheme="minorHAnsi"/>
              </w:rPr>
            </w:pPr>
            <w:r w:rsidRPr="001B2972">
              <w:rPr>
                <w:rFonts w:eastAsiaTheme="minorHAnsi" w:cstheme="minorHAnsi"/>
              </w:rPr>
              <w:t>sievert</w:t>
            </w:r>
          </w:p>
        </w:tc>
        <w:tc>
          <w:tcPr>
            <w:tcW w:w="0" w:type="auto"/>
            <w:vAlign w:val="center"/>
            <w:hideMark/>
          </w:tcPr>
          <w:p w14:paraId="379A1688" w14:textId="77777777" w:rsidR="001B2972" w:rsidRPr="001B2972" w:rsidRDefault="001B2972" w:rsidP="001B2972">
            <w:pPr>
              <w:spacing w:after="0" w:line="240" w:lineRule="auto"/>
              <w:jc w:val="both"/>
              <w:rPr>
                <w:rFonts w:eastAsiaTheme="minorHAnsi" w:cstheme="minorHAnsi"/>
              </w:rPr>
            </w:pPr>
            <w:r w:rsidRPr="001B2972">
              <w:rPr>
                <w:rFonts w:eastAsiaTheme="minorHAnsi" w:cstheme="minorHAnsi"/>
              </w:rPr>
              <w:t>Sv. 1 Sv = 1 J kg</w:t>
            </w:r>
            <w:r w:rsidRPr="001B2972">
              <w:rPr>
                <w:rFonts w:eastAsiaTheme="minorHAnsi" w:cstheme="minorHAnsi"/>
                <w:vertAlign w:val="superscript"/>
              </w:rPr>
              <w:t>-1</w:t>
            </w:r>
          </w:p>
        </w:tc>
      </w:tr>
      <w:tr w:rsidR="001B2972" w:rsidRPr="001B2972" w14:paraId="287DE5D6" w14:textId="77777777" w:rsidTr="00A26630">
        <w:trPr>
          <w:tblCellSpacing w:w="15" w:type="dxa"/>
        </w:trPr>
        <w:tc>
          <w:tcPr>
            <w:tcW w:w="0" w:type="auto"/>
            <w:vAlign w:val="center"/>
            <w:hideMark/>
          </w:tcPr>
          <w:p w14:paraId="36036B9D" w14:textId="77777777" w:rsidR="001B2972" w:rsidRPr="001B2972" w:rsidRDefault="001B2972" w:rsidP="001B2972">
            <w:pPr>
              <w:spacing w:after="0" w:line="240" w:lineRule="auto"/>
              <w:jc w:val="both"/>
              <w:rPr>
                <w:rFonts w:eastAsiaTheme="minorHAnsi" w:cstheme="minorHAnsi"/>
              </w:rPr>
            </w:pPr>
            <w:r w:rsidRPr="001B2972">
              <w:rPr>
                <w:rFonts w:eastAsiaTheme="minorHAnsi" w:cstheme="minorHAnsi"/>
              </w:rPr>
              <w:t> </w:t>
            </w:r>
            <w:r w:rsidRPr="001B2972">
              <w:rPr>
                <w:rFonts w:eastAsiaTheme="minorHAnsi" w:cstheme="minorHAnsi"/>
              </w:rPr>
              <w:t>aktiivisuuspitoisuus</w:t>
            </w:r>
          </w:p>
        </w:tc>
        <w:tc>
          <w:tcPr>
            <w:tcW w:w="0" w:type="auto"/>
            <w:vAlign w:val="center"/>
            <w:hideMark/>
          </w:tcPr>
          <w:p w14:paraId="3C443FBA" w14:textId="77777777" w:rsidR="001B2972" w:rsidRPr="001B2972" w:rsidRDefault="001B2972" w:rsidP="001B2972">
            <w:pPr>
              <w:spacing w:after="0" w:line="240" w:lineRule="auto"/>
              <w:jc w:val="both"/>
              <w:rPr>
                <w:rFonts w:eastAsiaTheme="minorHAnsi" w:cstheme="minorHAnsi"/>
              </w:rPr>
            </w:pPr>
            <w:r w:rsidRPr="001B2972">
              <w:rPr>
                <w:rFonts w:eastAsiaTheme="minorHAnsi" w:cstheme="minorHAnsi"/>
              </w:rPr>
              <w:t>aktiivisuus tilavuusyksikköä kohti tai</w:t>
            </w:r>
          </w:p>
          <w:p w14:paraId="214D864F" w14:textId="77777777" w:rsidR="001B2972" w:rsidRPr="001B2972" w:rsidRDefault="001B2972" w:rsidP="001B2972">
            <w:pPr>
              <w:spacing w:after="0" w:line="240" w:lineRule="auto"/>
              <w:jc w:val="both"/>
              <w:rPr>
                <w:rFonts w:eastAsiaTheme="minorHAnsi" w:cstheme="minorHAnsi"/>
              </w:rPr>
            </w:pPr>
            <w:r w:rsidRPr="001B2972">
              <w:rPr>
                <w:rFonts w:eastAsiaTheme="minorHAnsi" w:cstheme="minorHAnsi"/>
              </w:rPr>
              <w:t>aktiivisuus massayksikköä kohti</w:t>
            </w:r>
          </w:p>
        </w:tc>
        <w:tc>
          <w:tcPr>
            <w:tcW w:w="0" w:type="auto"/>
            <w:vAlign w:val="center"/>
            <w:hideMark/>
          </w:tcPr>
          <w:p w14:paraId="36263FF8" w14:textId="77777777" w:rsidR="001B2972" w:rsidRPr="001B2972" w:rsidRDefault="001B2972" w:rsidP="001B2972">
            <w:pPr>
              <w:spacing w:after="0" w:line="240" w:lineRule="auto"/>
              <w:jc w:val="both"/>
              <w:rPr>
                <w:rFonts w:eastAsiaTheme="minorHAnsi" w:cstheme="minorHAnsi"/>
              </w:rPr>
            </w:pPr>
            <w:r w:rsidRPr="001B2972">
              <w:rPr>
                <w:rFonts w:eastAsiaTheme="minorHAnsi" w:cstheme="minorHAnsi"/>
              </w:rPr>
              <w:t>Bq m</w:t>
            </w:r>
            <w:r w:rsidRPr="001B2972">
              <w:rPr>
                <w:rFonts w:eastAsiaTheme="minorHAnsi" w:cstheme="minorHAnsi"/>
                <w:vertAlign w:val="superscript"/>
              </w:rPr>
              <w:t>-3</w:t>
            </w:r>
            <w:r w:rsidRPr="001B2972">
              <w:rPr>
                <w:rFonts w:eastAsiaTheme="minorHAnsi" w:cstheme="minorHAnsi"/>
              </w:rPr>
              <w:t xml:space="preserve"> </w:t>
            </w:r>
          </w:p>
          <w:p w14:paraId="7470DA91" w14:textId="77777777" w:rsidR="001B2972" w:rsidRPr="001B2972" w:rsidRDefault="001B2972" w:rsidP="001B2972">
            <w:pPr>
              <w:spacing w:after="0" w:line="240" w:lineRule="auto"/>
              <w:jc w:val="both"/>
              <w:rPr>
                <w:rFonts w:eastAsiaTheme="minorHAnsi" w:cstheme="minorHAnsi"/>
              </w:rPr>
            </w:pPr>
            <w:r w:rsidRPr="001B2972">
              <w:rPr>
                <w:rFonts w:eastAsiaTheme="minorHAnsi" w:cstheme="minorHAnsi"/>
              </w:rPr>
              <w:t>Bq kg</w:t>
            </w:r>
            <w:r w:rsidRPr="001B2972">
              <w:rPr>
                <w:rFonts w:eastAsiaTheme="minorHAnsi" w:cstheme="minorHAnsi"/>
                <w:vertAlign w:val="superscript"/>
              </w:rPr>
              <w:t>-3</w:t>
            </w:r>
          </w:p>
        </w:tc>
      </w:tr>
    </w:tbl>
    <w:p w14:paraId="00E711A5" w14:textId="77777777" w:rsidR="001B2972" w:rsidRPr="001B2972" w:rsidRDefault="001B2972" w:rsidP="001B2972">
      <w:pPr>
        <w:spacing w:after="0" w:line="240" w:lineRule="auto"/>
        <w:jc w:val="both"/>
        <w:rPr>
          <w:rFonts w:eastAsiaTheme="minorHAnsi" w:cstheme="minorHAnsi"/>
        </w:rPr>
      </w:pPr>
    </w:p>
    <w:p w14:paraId="3B9CA4AF" w14:textId="77777777" w:rsidR="001B2972" w:rsidRPr="001B2972" w:rsidRDefault="001B2972" w:rsidP="001B2972">
      <w:pPr>
        <w:spacing w:after="0" w:line="240" w:lineRule="auto"/>
        <w:jc w:val="both"/>
        <w:rPr>
          <w:rFonts w:eastAsiaTheme="minorHAnsi" w:cstheme="minorHAnsi"/>
        </w:rPr>
      </w:pPr>
    </w:p>
    <w:p w14:paraId="03669AD5" w14:textId="77777777" w:rsidR="001B2972" w:rsidRPr="001B2972" w:rsidRDefault="001B2972" w:rsidP="001B2972">
      <w:pPr>
        <w:spacing w:after="0" w:line="240" w:lineRule="auto"/>
        <w:jc w:val="both"/>
        <w:rPr>
          <w:rFonts w:eastAsiaTheme="minorHAnsi" w:cstheme="minorHAnsi"/>
        </w:rPr>
      </w:pPr>
    </w:p>
    <w:p w14:paraId="75A83B1A" w14:textId="661D8CD5" w:rsidR="001B2972" w:rsidRDefault="001B2972">
      <w:r>
        <w:br w:type="page"/>
      </w:r>
    </w:p>
    <w:p w14:paraId="16B0BC0C" w14:textId="77777777" w:rsidR="001B2972" w:rsidRDefault="001B2972" w:rsidP="001B2972">
      <w:pPr>
        <w:pStyle w:val="Eivli"/>
      </w:pPr>
    </w:p>
    <w:p w14:paraId="06DF3569" w14:textId="77777777" w:rsidR="001B2972" w:rsidRDefault="001B2972" w:rsidP="001B2972">
      <w:pPr>
        <w:pStyle w:val="Eivli"/>
      </w:pPr>
    </w:p>
    <w:p w14:paraId="4AFD262A" w14:textId="5585348B" w:rsidR="00506342" w:rsidRDefault="00C779C2" w:rsidP="00506342">
      <w:pPr>
        <w:pStyle w:val="Otsikko2"/>
      </w:pPr>
      <w:r>
        <w:t>LIITE</w:t>
      </w:r>
      <w:r w:rsidR="001B2972">
        <w:t xml:space="preserve"> 2</w:t>
      </w:r>
    </w:p>
    <w:p w14:paraId="0479F3A8" w14:textId="67841FE8" w:rsidR="00C779C2" w:rsidRPr="00BB62D5" w:rsidRDefault="00C779C2" w:rsidP="00C779C2">
      <w:pPr>
        <w:rPr>
          <w:b/>
        </w:rPr>
      </w:pPr>
      <w:r w:rsidRPr="00BB62D5">
        <w:rPr>
          <w:b/>
        </w:rPr>
        <w:t>EKVIVALENTTIANNOKSEN LASKEMISESSA KÄYTETTÄVÄT SÄTEILYN PAINOTUSKERTOIMET JA EFEKTIIVISEN ANNOKSEN LASKEMISESSA KÄYTETTÄVÄT KUDOSTEN PAINOTUSKERTOIMET</w:t>
      </w:r>
    </w:p>
    <w:p w14:paraId="537A37A2" w14:textId="202A69E7" w:rsidR="00865F79" w:rsidRPr="00C779C2" w:rsidRDefault="00865F79" w:rsidP="000B2864">
      <w:pPr>
        <w:pStyle w:val="Luettelokappale"/>
        <w:numPr>
          <w:ilvl w:val="0"/>
          <w:numId w:val="42"/>
        </w:numPr>
        <w:rPr>
          <w:b/>
          <w:bCs/>
        </w:rPr>
      </w:pPr>
      <w:bookmarkStart w:id="1" w:name="_Toc482191489"/>
      <w:r w:rsidRPr="00C779C2">
        <w:rPr>
          <w:b/>
          <w:bCs/>
        </w:rPr>
        <w:t>Ekvivalenttiannoksen laskemisessa käytettävät säteilyn painotuskertoimet</w:t>
      </w:r>
      <w:bookmarkEnd w:id="1"/>
    </w:p>
    <w:p w14:paraId="161EDA3A" w14:textId="7887101A" w:rsidR="00865F79" w:rsidRPr="00865F79" w:rsidRDefault="00865F79" w:rsidP="00865F79">
      <w:r w:rsidRPr="00865F79">
        <w:t xml:space="preserve">Ekvivalenttiannoksen laskemisessa käytetään taulukossa L1 esitettyjä säteilyn painotuskertoimia </w:t>
      </w:r>
      <w:r w:rsidRPr="00865F79">
        <w:rPr>
          <w:i/>
        </w:rPr>
        <w:t>w</w:t>
      </w:r>
      <w:r w:rsidRPr="00865F79">
        <w:rPr>
          <w:i/>
          <w:vertAlign w:val="subscript"/>
        </w:rPr>
        <w:t>R</w:t>
      </w:r>
      <w:r w:rsidR="00BB62D5">
        <w:t>.</w:t>
      </w:r>
    </w:p>
    <w:p w14:paraId="38A69B58" w14:textId="77777777" w:rsidR="00865F79" w:rsidRPr="00865F79" w:rsidRDefault="00865F79" w:rsidP="00865F79">
      <w:r w:rsidRPr="00865F79">
        <w:rPr>
          <w:b/>
        </w:rPr>
        <w:t>Taulukko L1.</w:t>
      </w:r>
      <w:r w:rsidRPr="00865F79">
        <w:t xml:space="preserve"> Säteilyn painotuskertoimet </w:t>
      </w:r>
      <w:r w:rsidRPr="00865F79">
        <w:rPr>
          <w:i/>
        </w:rPr>
        <w:t>w</w:t>
      </w:r>
      <w:r w:rsidRPr="00865F79">
        <w:rPr>
          <w:i/>
          <w:vertAlign w:val="subscript"/>
        </w:rPr>
        <w:t>R</w:t>
      </w:r>
      <w:r w:rsidRPr="00865F79">
        <w:t xml:space="preserve"> eri säteilylaaduille.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3402"/>
      </w:tblGrid>
      <w:tr w:rsidR="00865F79" w:rsidRPr="00865F79" w14:paraId="469D629C" w14:textId="77777777" w:rsidTr="00865F79">
        <w:tc>
          <w:tcPr>
            <w:tcW w:w="4786" w:type="dxa"/>
          </w:tcPr>
          <w:p w14:paraId="6DD495CC" w14:textId="77777777" w:rsidR="00865F79" w:rsidRPr="00865F79" w:rsidRDefault="00865F79" w:rsidP="00865F79">
            <w:pPr>
              <w:rPr>
                <w:b/>
              </w:rPr>
            </w:pPr>
            <w:r w:rsidRPr="00865F79">
              <w:rPr>
                <w:b/>
              </w:rPr>
              <w:t>Säteilylaatu</w:t>
            </w:r>
          </w:p>
        </w:tc>
        <w:tc>
          <w:tcPr>
            <w:tcW w:w="3402" w:type="dxa"/>
          </w:tcPr>
          <w:p w14:paraId="0F839951" w14:textId="77777777" w:rsidR="00865F79" w:rsidRPr="00865F79" w:rsidRDefault="00865F79" w:rsidP="00865F79">
            <w:pPr>
              <w:rPr>
                <w:b/>
                <w:i/>
              </w:rPr>
            </w:pPr>
            <w:r w:rsidRPr="00865F79">
              <w:rPr>
                <w:b/>
                <w:i/>
              </w:rPr>
              <w:t>w</w:t>
            </w:r>
            <w:r w:rsidRPr="00865F79">
              <w:rPr>
                <w:b/>
                <w:i/>
                <w:vertAlign w:val="subscript"/>
              </w:rPr>
              <w:t>R</w:t>
            </w:r>
          </w:p>
        </w:tc>
      </w:tr>
      <w:tr w:rsidR="00865F79" w:rsidRPr="00865F79" w14:paraId="3A9B7074" w14:textId="77777777" w:rsidTr="00865F79">
        <w:tc>
          <w:tcPr>
            <w:tcW w:w="4786" w:type="dxa"/>
          </w:tcPr>
          <w:p w14:paraId="1EDCDEA1" w14:textId="77777777" w:rsidR="00865F79" w:rsidRPr="00865F79" w:rsidRDefault="00865F79" w:rsidP="00865F79">
            <w:r w:rsidRPr="00865F79">
              <w:t>Fotonit, kaikki energiat</w:t>
            </w:r>
          </w:p>
          <w:p w14:paraId="1A5585CE" w14:textId="77777777" w:rsidR="00865F79" w:rsidRPr="00865F79" w:rsidRDefault="00865F79" w:rsidP="00865F79">
            <w:r w:rsidRPr="00865F79">
              <w:t>Elektronit*) ja myonit, kaikki energiat</w:t>
            </w:r>
          </w:p>
          <w:p w14:paraId="5DFAF5F8" w14:textId="77777777" w:rsidR="00865F79" w:rsidRPr="00865F79" w:rsidRDefault="00865F79" w:rsidP="00865F79">
            <w:r w:rsidRPr="00865F79">
              <w:t>Neutronit, energia</w:t>
            </w:r>
          </w:p>
          <w:p w14:paraId="7FBB0587" w14:textId="77777777" w:rsidR="00865F79" w:rsidRPr="00865F79" w:rsidRDefault="00865F79" w:rsidP="00624C57">
            <w:pPr>
              <w:numPr>
                <w:ilvl w:val="0"/>
                <w:numId w:val="23"/>
              </w:numPr>
            </w:pPr>
            <w:r w:rsidRPr="00865F79">
              <w:t>alle 1 MeV</w:t>
            </w:r>
          </w:p>
          <w:p w14:paraId="44D01576" w14:textId="77777777" w:rsidR="00865F79" w:rsidRPr="00865F79" w:rsidRDefault="00865F79" w:rsidP="00624C57">
            <w:pPr>
              <w:numPr>
                <w:ilvl w:val="0"/>
                <w:numId w:val="23"/>
              </w:numPr>
            </w:pPr>
            <w:r w:rsidRPr="00865F79">
              <w:t>vähintään 1 MeV ja enintään 50 MeV</w:t>
            </w:r>
          </w:p>
          <w:p w14:paraId="7DD42EA6" w14:textId="77777777" w:rsidR="00865F79" w:rsidRPr="00865F79" w:rsidRDefault="00865F79" w:rsidP="00624C57">
            <w:pPr>
              <w:numPr>
                <w:ilvl w:val="0"/>
                <w:numId w:val="23"/>
              </w:numPr>
            </w:pPr>
            <w:r w:rsidRPr="00865F79">
              <w:t>yli 50 MeV</w:t>
            </w:r>
          </w:p>
          <w:p w14:paraId="500E8DE4" w14:textId="77777777" w:rsidR="00865F79" w:rsidRPr="00865F79" w:rsidRDefault="00865F79" w:rsidP="00865F79">
            <w:r w:rsidRPr="00865F79">
              <w:t>Protonit ja varatut pionit</w:t>
            </w:r>
          </w:p>
          <w:p w14:paraId="596639C5" w14:textId="77777777" w:rsidR="00865F79" w:rsidRPr="00865F79" w:rsidRDefault="00865F79" w:rsidP="00865F79">
            <w:r w:rsidRPr="00865F79">
              <w:t>Alfahiukkaset, fissiofragmentit, raskaat ytimet</w:t>
            </w:r>
          </w:p>
        </w:tc>
        <w:tc>
          <w:tcPr>
            <w:tcW w:w="3402" w:type="dxa"/>
          </w:tcPr>
          <w:p w14:paraId="41C32185" w14:textId="77777777" w:rsidR="00865F79" w:rsidRPr="00865F79" w:rsidRDefault="00865F79" w:rsidP="00865F79">
            <w:r w:rsidRPr="00865F79">
              <w:t>1</w:t>
            </w:r>
          </w:p>
          <w:p w14:paraId="75E9B4D1" w14:textId="77777777" w:rsidR="00865F79" w:rsidRPr="00865F79" w:rsidRDefault="00865F79" w:rsidP="00865F79">
            <w:r w:rsidRPr="00865F79">
              <w:t>1</w:t>
            </w:r>
          </w:p>
          <w:p w14:paraId="21CABD66" w14:textId="77777777" w:rsidR="00865F79" w:rsidRPr="00865F79" w:rsidRDefault="00865F79" w:rsidP="00865F79"/>
          <w:p w14:paraId="79D0B51D" w14:textId="77777777" w:rsidR="00865F79" w:rsidRPr="00865F79" w:rsidRDefault="00865F79" w:rsidP="00865F79">
            <w:r w:rsidRPr="00865F79">
              <w:t xml:space="preserve">2,5 + 18,2 e </w:t>
            </w:r>
            <w:r w:rsidRPr="00865F79">
              <w:rPr>
                <w:vertAlign w:val="superscript"/>
              </w:rPr>
              <w:t xml:space="preserve">-[ln(En)] 2 /6 </w:t>
            </w:r>
          </w:p>
          <w:p w14:paraId="56C1092D" w14:textId="77777777" w:rsidR="00865F79" w:rsidRPr="00865F79" w:rsidRDefault="00865F79" w:rsidP="00865F79">
            <w:r w:rsidRPr="00865F79">
              <w:t>5,0 + 17,0 e</w:t>
            </w:r>
            <w:r w:rsidRPr="00865F79">
              <w:rPr>
                <w:vertAlign w:val="superscript"/>
              </w:rPr>
              <w:t xml:space="preserve"> -[ln(2 En)] 2 /6 </w:t>
            </w:r>
          </w:p>
          <w:p w14:paraId="4689F5EA" w14:textId="77777777" w:rsidR="00865F79" w:rsidRPr="00865F79" w:rsidRDefault="00865F79" w:rsidP="00865F79">
            <w:r w:rsidRPr="00865F79">
              <w:t xml:space="preserve">2,5 + 3,25 e </w:t>
            </w:r>
            <w:r w:rsidRPr="00865F79">
              <w:rPr>
                <w:vertAlign w:val="superscript"/>
              </w:rPr>
              <w:t>-[ln(0,04 En)] 2 /6</w:t>
            </w:r>
          </w:p>
          <w:p w14:paraId="35ABE16F" w14:textId="77777777" w:rsidR="00865F79" w:rsidRPr="00865F79" w:rsidRDefault="00865F79" w:rsidP="00865F79">
            <w:r w:rsidRPr="00865F79">
              <w:t>2</w:t>
            </w:r>
          </w:p>
          <w:p w14:paraId="1DF4277C" w14:textId="77777777" w:rsidR="00865F79" w:rsidRPr="00865F79" w:rsidRDefault="00865F79" w:rsidP="00865F79">
            <w:r w:rsidRPr="00865F79">
              <w:t>20</w:t>
            </w:r>
          </w:p>
        </w:tc>
      </w:tr>
    </w:tbl>
    <w:p w14:paraId="7835D2A7" w14:textId="77777777" w:rsidR="00865F79" w:rsidRPr="00865F79" w:rsidRDefault="00865F79" w:rsidP="00865F79"/>
    <w:p w14:paraId="65B054E7" w14:textId="63708C73" w:rsidR="00865F79" w:rsidRPr="00BB62D5" w:rsidRDefault="00865F79" w:rsidP="000B2864">
      <w:pPr>
        <w:pStyle w:val="Luettelokappale"/>
        <w:numPr>
          <w:ilvl w:val="0"/>
          <w:numId w:val="42"/>
        </w:numPr>
        <w:rPr>
          <w:b/>
          <w:bCs/>
        </w:rPr>
      </w:pPr>
      <w:bookmarkStart w:id="2" w:name="_Toc482191491"/>
      <w:r w:rsidRPr="00BB62D5">
        <w:rPr>
          <w:b/>
          <w:bCs/>
        </w:rPr>
        <w:t>Efektiivisen annoksen laskemisessa käytettävät kudosten painotuskertoimet</w:t>
      </w:r>
      <w:bookmarkEnd w:id="2"/>
    </w:p>
    <w:p w14:paraId="2BEB7D88" w14:textId="6FE759B9" w:rsidR="00865F79" w:rsidRPr="00BB62D5" w:rsidRDefault="00865F79" w:rsidP="00865F79">
      <w:r w:rsidRPr="00865F79">
        <w:t xml:space="preserve">Efektiivisen annoksen laskemisessa käytetään taulukossa L2 esitettyjä kudosten painotuskertoimia </w:t>
      </w:r>
      <w:r w:rsidRPr="00865F79">
        <w:rPr>
          <w:b/>
          <w:i/>
        </w:rPr>
        <w:t>w</w:t>
      </w:r>
      <w:r w:rsidRPr="00865F79">
        <w:rPr>
          <w:b/>
          <w:i/>
          <w:vertAlign w:val="subscript"/>
        </w:rPr>
        <w:t>T</w:t>
      </w:r>
      <w:r w:rsidRPr="00865F79">
        <w:t>. Kertoimet perustuvat kumpaakin sukupuolta tasapuolisesti ja laajaa ikärakennet</w:t>
      </w:r>
      <w:r w:rsidR="00BB62D5">
        <w:t>ta edustavaan vertailuväestöön.</w:t>
      </w:r>
    </w:p>
    <w:p w14:paraId="54D44F8D" w14:textId="77777777" w:rsidR="00865F79" w:rsidRPr="00865F79" w:rsidRDefault="00865F79" w:rsidP="00865F79">
      <w:r w:rsidRPr="00865F79">
        <w:rPr>
          <w:b/>
        </w:rPr>
        <w:t>Taulukko L2.</w:t>
      </w:r>
      <w:r w:rsidRPr="00865F79">
        <w:t xml:space="preserve"> Kudosten painotuskertoimet w</w:t>
      </w:r>
      <w:r w:rsidRPr="00865F79">
        <w:rPr>
          <w:vertAlign w:val="subscript"/>
        </w:rPr>
        <w:t>T</w:t>
      </w:r>
      <w:r w:rsidRPr="00865F79">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3402"/>
      </w:tblGrid>
      <w:tr w:rsidR="00865F79" w:rsidRPr="00865F79" w14:paraId="21FFB195" w14:textId="77777777" w:rsidTr="00865F79">
        <w:tc>
          <w:tcPr>
            <w:tcW w:w="4786" w:type="dxa"/>
          </w:tcPr>
          <w:p w14:paraId="4BAB8D9D" w14:textId="77777777" w:rsidR="00865F79" w:rsidRPr="00865F79" w:rsidRDefault="00865F79" w:rsidP="00865F79">
            <w:pPr>
              <w:rPr>
                <w:b/>
              </w:rPr>
            </w:pPr>
            <w:r w:rsidRPr="00865F79">
              <w:rPr>
                <w:b/>
              </w:rPr>
              <w:t>Kudos tai elin</w:t>
            </w:r>
          </w:p>
        </w:tc>
        <w:tc>
          <w:tcPr>
            <w:tcW w:w="3402" w:type="dxa"/>
          </w:tcPr>
          <w:p w14:paraId="0F649DA0" w14:textId="77777777" w:rsidR="00865F79" w:rsidRPr="00865F79" w:rsidRDefault="00865F79" w:rsidP="00865F79">
            <w:pPr>
              <w:rPr>
                <w:b/>
                <w:i/>
              </w:rPr>
            </w:pPr>
            <w:r w:rsidRPr="00865F79">
              <w:rPr>
                <w:b/>
                <w:i/>
              </w:rPr>
              <w:t>w</w:t>
            </w:r>
            <w:r w:rsidRPr="00865F79">
              <w:rPr>
                <w:b/>
                <w:i/>
                <w:vertAlign w:val="subscript"/>
              </w:rPr>
              <w:t>T</w:t>
            </w:r>
          </w:p>
        </w:tc>
      </w:tr>
      <w:tr w:rsidR="00865F79" w:rsidRPr="00865F79" w14:paraId="7C472A38" w14:textId="77777777" w:rsidTr="00865F79">
        <w:tc>
          <w:tcPr>
            <w:tcW w:w="4786" w:type="dxa"/>
          </w:tcPr>
          <w:p w14:paraId="694C6C48" w14:textId="77777777" w:rsidR="00865F79" w:rsidRPr="00865F79" w:rsidRDefault="00865F79" w:rsidP="00865F79">
            <w:r w:rsidRPr="00865F79">
              <w:t>Keuhkot</w:t>
            </w:r>
          </w:p>
          <w:p w14:paraId="33E2E71D" w14:textId="77777777" w:rsidR="00865F79" w:rsidRPr="00865F79" w:rsidRDefault="00865F79" w:rsidP="00865F79">
            <w:r w:rsidRPr="00865F79">
              <w:t>Mahalaukku</w:t>
            </w:r>
          </w:p>
          <w:p w14:paraId="22C91F06" w14:textId="77777777" w:rsidR="00865F79" w:rsidRPr="00865F79" w:rsidRDefault="00865F79" w:rsidP="00865F79">
            <w:r w:rsidRPr="00865F79">
              <w:t>Paksusuoli</w:t>
            </w:r>
          </w:p>
          <w:p w14:paraId="18B7FAB4" w14:textId="77777777" w:rsidR="00865F79" w:rsidRPr="00865F79" w:rsidRDefault="00865F79" w:rsidP="00865F79">
            <w:r w:rsidRPr="00865F79">
              <w:t>Punainen luuydin</w:t>
            </w:r>
          </w:p>
          <w:p w14:paraId="651996D7" w14:textId="77777777" w:rsidR="00865F79" w:rsidRPr="00865F79" w:rsidRDefault="00865F79" w:rsidP="00865F79">
            <w:r w:rsidRPr="00865F79">
              <w:t>Rintarauhaset</w:t>
            </w:r>
          </w:p>
          <w:p w14:paraId="21BCB2F0" w14:textId="77777777" w:rsidR="00865F79" w:rsidRPr="00865F79" w:rsidRDefault="00865F79" w:rsidP="00865F79">
            <w:r w:rsidRPr="00865F79">
              <w:t>Sukurauhaset</w:t>
            </w:r>
          </w:p>
          <w:p w14:paraId="5F296C30" w14:textId="77777777" w:rsidR="00865F79" w:rsidRPr="00865F79" w:rsidRDefault="00865F79" w:rsidP="00865F79">
            <w:r w:rsidRPr="00865F79">
              <w:lastRenderedPageBreak/>
              <w:t>Kilpirauhanen</w:t>
            </w:r>
          </w:p>
          <w:p w14:paraId="532866D2" w14:textId="77777777" w:rsidR="00865F79" w:rsidRPr="00865F79" w:rsidRDefault="00865F79" w:rsidP="00865F79">
            <w:r w:rsidRPr="00865F79">
              <w:t>Maksa</w:t>
            </w:r>
          </w:p>
          <w:p w14:paraId="4FFD6A05" w14:textId="77777777" w:rsidR="00865F79" w:rsidRPr="00865F79" w:rsidRDefault="00865F79" w:rsidP="00865F79">
            <w:r w:rsidRPr="00865F79">
              <w:t>Ruokatorvi</w:t>
            </w:r>
          </w:p>
          <w:p w14:paraId="47D91297" w14:textId="77777777" w:rsidR="00865F79" w:rsidRPr="00865F79" w:rsidRDefault="00865F79" w:rsidP="00865F79">
            <w:r w:rsidRPr="00865F79">
              <w:t>Virtsarakko</w:t>
            </w:r>
          </w:p>
          <w:p w14:paraId="6DAAFD59" w14:textId="77777777" w:rsidR="00865F79" w:rsidRPr="00865F79" w:rsidRDefault="00865F79" w:rsidP="00865F79">
            <w:r w:rsidRPr="00865F79">
              <w:t>Aivot</w:t>
            </w:r>
          </w:p>
          <w:p w14:paraId="53C63F02" w14:textId="77777777" w:rsidR="00865F79" w:rsidRPr="00865F79" w:rsidRDefault="00865F79" w:rsidP="00865F79">
            <w:r w:rsidRPr="00865F79">
              <w:t>Iho</w:t>
            </w:r>
          </w:p>
          <w:p w14:paraId="776C1D58" w14:textId="77777777" w:rsidR="00865F79" w:rsidRPr="00865F79" w:rsidRDefault="00865F79" w:rsidP="00865F79">
            <w:r w:rsidRPr="00865F79">
              <w:t>Luun pinta</w:t>
            </w:r>
          </w:p>
          <w:p w14:paraId="09AEAF36" w14:textId="77777777" w:rsidR="00865F79" w:rsidRPr="00865F79" w:rsidRDefault="00865F79" w:rsidP="00865F79">
            <w:r w:rsidRPr="00865F79">
              <w:t>Sylkirauhaset</w:t>
            </w:r>
          </w:p>
          <w:p w14:paraId="0D844FDC" w14:textId="77777777" w:rsidR="00865F79" w:rsidRPr="00865F79" w:rsidRDefault="00865F79" w:rsidP="00865F79">
            <w:r w:rsidRPr="00865F79">
              <w:t>Muut kudokset</w:t>
            </w:r>
          </w:p>
        </w:tc>
        <w:tc>
          <w:tcPr>
            <w:tcW w:w="3402" w:type="dxa"/>
          </w:tcPr>
          <w:p w14:paraId="27F868F7" w14:textId="77777777" w:rsidR="00865F79" w:rsidRPr="00865F79" w:rsidRDefault="00865F79" w:rsidP="00865F79">
            <w:r w:rsidRPr="00865F79">
              <w:lastRenderedPageBreak/>
              <w:t>0,12</w:t>
            </w:r>
          </w:p>
          <w:p w14:paraId="7FDF8E7D" w14:textId="77777777" w:rsidR="00865F79" w:rsidRPr="00865F79" w:rsidRDefault="00865F79" w:rsidP="00865F79">
            <w:r w:rsidRPr="00865F79">
              <w:t>0,12</w:t>
            </w:r>
          </w:p>
          <w:p w14:paraId="3E6A4B8B" w14:textId="77777777" w:rsidR="00865F79" w:rsidRPr="00865F79" w:rsidRDefault="00865F79" w:rsidP="00865F79">
            <w:r w:rsidRPr="00865F79">
              <w:t>0,12</w:t>
            </w:r>
          </w:p>
          <w:p w14:paraId="0EE0F030" w14:textId="77777777" w:rsidR="00865F79" w:rsidRPr="00865F79" w:rsidRDefault="00865F79" w:rsidP="00865F79">
            <w:r w:rsidRPr="00865F79">
              <w:t>0,12</w:t>
            </w:r>
          </w:p>
          <w:p w14:paraId="666B08FF" w14:textId="77777777" w:rsidR="00865F79" w:rsidRPr="00865F79" w:rsidRDefault="00865F79" w:rsidP="00865F79">
            <w:r w:rsidRPr="00865F79">
              <w:t>0,12</w:t>
            </w:r>
          </w:p>
          <w:p w14:paraId="33451B3E" w14:textId="77777777" w:rsidR="00865F79" w:rsidRPr="00865F79" w:rsidRDefault="00865F79" w:rsidP="00865F79">
            <w:r w:rsidRPr="00865F79">
              <w:t>0,08</w:t>
            </w:r>
          </w:p>
          <w:p w14:paraId="7D32F5FB" w14:textId="77777777" w:rsidR="00865F79" w:rsidRPr="00865F79" w:rsidRDefault="00865F79" w:rsidP="00865F79">
            <w:r w:rsidRPr="00865F79">
              <w:lastRenderedPageBreak/>
              <w:t>0,04</w:t>
            </w:r>
          </w:p>
          <w:p w14:paraId="2713A3EF" w14:textId="77777777" w:rsidR="00865F79" w:rsidRPr="00865F79" w:rsidRDefault="00865F79" w:rsidP="00865F79">
            <w:r w:rsidRPr="00865F79">
              <w:t>0,04</w:t>
            </w:r>
          </w:p>
          <w:p w14:paraId="3784C424" w14:textId="77777777" w:rsidR="00865F79" w:rsidRPr="00865F79" w:rsidRDefault="00865F79" w:rsidP="00865F79">
            <w:r w:rsidRPr="00865F79">
              <w:t>0,04</w:t>
            </w:r>
          </w:p>
          <w:p w14:paraId="7B657B61" w14:textId="77777777" w:rsidR="00865F79" w:rsidRPr="00865F79" w:rsidRDefault="00865F79" w:rsidP="00865F79">
            <w:r w:rsidRPr="00865F79">
              <w:t>0,04</w:t>
            </w:r>
          </w:p>
          <w:p w14:paraId="7F3B446D" w14:textId="77777777" w:rsidR="00865F79" w:rsidRPr="00865F79" w:rsidRDefault="00865F79" w:rsidP="00865F79">
            <w:r w:rsidRPr="00865F79">
              <w:t>0,01</w:t>
            </w:r>
          </w:p>
          <w:p w14:paraId="1FBD041C" w14:textId="77777777" w:rsidR="00865F79" w:rsidRPr="00865F79" w:rsidRDefault="00865F79" w:rsidP="00865F79">
            <w:r w:rsidRPr="00865F79">
              <w:t>0,01</w:t>
            </w:r>
          </w:p>
          <w:p w14:paraId="3153590D" w14:textId="77777777" w:rsidR="00865F79" w:rsidRPr="00865F79" w:rsidRDefault="00865F79" w:rsidP="00865F79">
            <w:r w:rsidRPr="00865F79">
              <w:t>0,01</w:t>
            </w:r>
          </w:p>
          <w:p w14:paraId="658C0802" w14:textId="77777777" w:rsidR="00865F79" w:rsidRPr="00865F79" w:rsidRDefault="00865F79" w:rsidP="00865F79">
            <w:r w:rsidRPr="00865F79">
              <w:t>0,01</w:t>
            </w:r>
          </w:p>
          <w:p w14:paraId="481C2F16" w14:textId="77777777" w:rsidR="00865F79" w:rsidRPr="00865F79" w:rsidRDefault="00865F79" w:rsidP="00865F79">
            <w:r w:rsidRPr="00865F79">
              <w:t>0,12</w:t>
            </w:r>
          </w:p>
        </w:tc>
      </w:tr>
      <w:tr w:rsidR="00865F79" w:rsidRPr="00865F79" w14:paraId="0EFDC483" w14:textId="77777777" w:rsidTr="00865F79">
        <w:trPr>
          <w:trHeight w:val="439"/>
        </w:trPr>
        <w:tc>
          <w:tcPr>
            <w:tcW w:w="8188" w:type="dxa"/>
            <w:gridSpan w:val="2"/>
          </w:tcPr>
          <w:p w14:paraId="512B8E45" w14:textId="77777777" w:rsidR="00865F79" w:rsidRPr="00865F79" w:rsidRDefault="00865F79" w:rsidP="00865F79">
            <w:r w:rsidRPr="00865F79">
              <w:lastRenderedPageBreak/>
              <w:t xml:space="preserve">(*) Muita kudoksia koskeva kerroin </w:t>
            </w:r>
            <w:r w:rsidRPr="00865F79">
              <w:rPr>
                <w:i/>
              </w:rPr>
              <w:t>w</w:t>
            </w:r>
            <w:r w:rsidRPr="00865F79">
              <w:rPr>
                <w:i/>
                <w:vertAlign w:val="subscript"/>
              </w:rPr>
              <w:t>T</w:t>
            </w:r>
            <w:r w:rsidRPr="00865F79">
              <w:t xml:space="preserve"> (0,12) tarkoittaa aritmeettisesti laskettua keskimääräistä annosta, joka lasketaan kummankin sukupuolen osalta 13:lle seuraavaan luetteloon kuuluvalle elimelle ja kudokselle: Muut kudokset: lisämunuaiset, keuhkojen ulkopuolinen alue, sappirakko, sydän, munuaiset, imusolmukkeet, lihaskudos, suun limakalvo, haima, eturauhanen (miehet), ohutsuoli, perna, kateenkorva, kohtu/kohdunkaula (naiset).</w:t>
            </w:r>
          </w:p>
        </w:tc>
      </w:tr>
    </w:tbl>
    <w:p w14:paraId="38688818" w14:textId="77777777" w:rsidR="00865F79" w:rsidRPr="00865F79" w:rsidRDefault="00865F79" w:rsidP="00865F79"/>
    <w:p w14:paraId="1D39C488" w14:textId="77777777" w:rsidR="00865F79" w:rsidRPr="00865F79" w:rsidRDefault="00865F79" w:rsidP="00865F79">
      <w:r w:rsidRPr="00865F79">
        <w:br w:type="page"/>
      </w:r>
    </w:p>
    <w:p w14:paraId="4C3557A4" w14:textId="6EA54A1B" w:rsidR="00865F79" w:rsidRPr="00865F79" w:rsidRDefault="00BB62D5" w:rsidP="00865F79">
      <w:pPr>
        <w:pStyle w:val="Otsikko1"/>
      </w:pPr>
      <w:r>
        <w:lastRenderedPageBreak/>
        <w:t>LIITE</w:t>
      </w:r>
      <w:r w:rsidR="00865F79" w:rsidRPr="00865F79">
        <w:t xml:space="preserve"> </w:t>
      </w:r>
      <w:r w:rsidR="001B2972">
        <w:t>3</w:t>
      </w:r>
    </w:p>
    <w:p w14:paraId="35701E4C" w14:textId="318F4F7E" w:rsidR="00865F79" w:rsidRPr="00BB62D5" w:rsidRDefault="00BB62D5" w:rsidP="00865F79">
      <w:pPr>
        <w:rPr>
          <w:b/>
        </w:rPr>
      </w:pPr>
      <w:r w:rsidRPr="00BB62D5">
        <w:rPr>
          <w:b/>
        </w:rPr>
        <w:t>EFEKTIIVISEN ANNOKSEN KERTYMÄN MÄÄRITYS RADIOAKTIIVISEN AINEEN SAANNIN PERUSTEELLA JA LASKENNASSA KÄYTETTÄVÄT MUUNTOKERTOIMET JA PARAMETRIT</w:t>
      </w:r>
    </w:p>
    <w:p w14:paraId="29471CC8" w14:textId="45A254BA" w:rsidR="00865F79" w:rsidRPr="00BB62D5" w:rsidRDefault="00865F79" w:rsidP="000B2864">
      <w:pPr>
        <w:pStyle w:val="Luettelokappale"/>
        <w:numPr>
          <w:ilvl w:val="0"/>
          <w:numId w:val="43"/>
        </w:numPr>
        <w:rPr>
          <w:b/>
          <w:bCs/>
        </w:rPr>
      </w:pPr>
      <w:bookmarkStart w:id="3" w:name="_Toc482191492"/>
      <w:r w:rsidRPr="00BB62D5">
        <w:rPr>
          <w:b/>
          <w:bCs/>
        </w:rPr>
        <w:t>Efektiivisen annoksen kertymän määritys radioaktiivisen aineen saannin perusteella</w:t>
      </w:r>
      <w:bookmarkEnd w:id="3"/>
    </w:p>
    <w:p w14:paraId="1F2D78E6" w14:textId="67152C55" w:rsidR="00865F79" w:rsidRPr="00BB62D5" w:rsidRDefault="00865F79" w:rsidP="00865F79">
      <w:pPr>
        <w:rPr>
          <w:b/>
        </w:rPr>
      </w:pPr>
      <w:r w:rsidRPr="00865F79">
        <w:t>Nielemisen ja hengityksen kautta kehoon joutuneen radionuklidin aiheuttaman efektiivisen annoksen kertymän laskemiseksi käytetään muiden radionuklidien kuin jalokaasujen osalta kaavaa L1 ja jalokaasujen osalta kaavaa L2. Efektiivisen annoksen kertymän laskemiseen on  käytettävä taulukoiden (A-H) muuntokertoimia ja parametreja.</w:t>
      </w:r>
    </w:p>
    <w:p w14:paraId="14A0A4BF" w14:textId="25347742" w:rsidR="00865F79" w:rsidRPr="00865F79" w:rsidRDefault="00865F79" w:rsidP="00865F79">
      <w:r w:rsidRPr="00865F79">
        <w:rPr>
          <w:i/>
        </w:rPr>
        <w:t>Annosmuuntokertoimella</w:t>
      </w:r>
      <w:r w:rsidRPr="00865F79">
        <w:t xml:space="preserve"> </w:t>
      </w:r>
      <w:r w:rsidRPr="00865F79">
        <w:rPr>
          <w:i/>
        </w:rPr>
        <w:t>h(g)</w:t>
      </w:r>
      <w:r w:rsidRPr="00865F79">
        <w:t xml:space="preserve"> tarkoitetaan efektiivisen annoksen kertymää </w:t>
      </w:r>
      <w:r w:rsidRPr="00865F79">
        <w:rPr>
          <w:i/>
        </w:rPr>
        <w:t>saannin</w:t>
      </w:r>
      <w:r w:rsidRPr="00865F79">
        <w:t xml:space="preserve"> yksikköä kohti. Muuntokertoimen yksikkö on Sv Bq</w:t>
      </w:r>
      <w:r w:rsidRPr="00865F79">
        <w:rPr>
          <w:vertAlign w:val="superscript"/>
        </w:rPr>
        <w:t>-1</w:t>
      </w:r>
      <w:r w:rsidR="00BB62D5">
        <w:t>.</w:t>
      </w:r>
    </w:p>
    <w:p w14:paraId="451B20BB" w14:textId="574AE673" w:rsidR="00865F79" w:rsidRPr="00865F79" w:rsidRDefault="00865F79" w:rsidP="00865F79">
      <w:r w:rsidRPr="00865F79">
        <w:rPr>
          <w:i/>
        </w:rPr>
        <w:t>Saannilla</w:t>
      </w:r>
      <w:r w:rsidRPr="00865F79">
        <w:t xml:space="preserve"> tarkoitetaan nielemisen tai sisään hengitetyn radioaktiivisen aineen kautta kehoon joutunutta radionuklidin aktiivisuutta. Saannissa ei huomioida uloshengityksen kautta mahdollisesti p</w:t>
      </w:r>
      <w:r w:rsidR="00BB62D5">
        <w:t>oistuvaa radionuklidin osuutta.</w:t>
      </w:r>
    </w:p>
    <w:p w14:paraId="316033BE" w14:textId="58954BAB" w:rsidR="00865F79" w:rsidRPr="00BB62D5" w:rsidRDefault="00BB62D5" w:rsidP="00865F79">
      <w:pPr>
        <w:rPr>
          <w:b/>
        </w:rPr>
      </w:pPr>
      <w:r>
        <w:rPr>
          <w:b/>
        </w:rPr>
        <w:t xml:space="preserve">1.1 </w:t>
      </w:r>
      <w:r w:rsidR="00865F79" w:rsidRPr="00865F79">
        <w:rPr>
          <w:b/>
        </w:rPr>
        <w:t>Muut kuin jalokaasut</w:t>
      </w:r>
    </w:p>
    <w:p w14:paraId="71E50C75" w14:textId="3F477839" w:rsidR="00865F79" w:rsidRPr="00865F79" w:rsidRDefault="00865F79" w:rsidP="00865F79">
      <w:r w:rsidRPr="00865F79">
        <w:t xml:space="preserve">Ikäryhmään </w:t>
      </w:r>
      <w:r w:rsidRPr="00865F79">
        <w:rPr>
          <w:i/>
          <w:iCs/>
        </w:rPr>
        <w:t xml:space="preserve">g </w:t>
      </w:r>
      <w:r w:rsidRPr="00865F79">
        <w:t xml:space="preserve">kuuluvan henkilön efektiivisen annoksen kertymä </w:t>
      </w:r>
      <w:r w:rsidRPr="00865F79">
        <w:rPr>
          <w:i/>
          <w:iCs/>
        </w:rPr>
        <w:t>E(</w:t>
      </w:r>
      <w:r w:rsidRPr="00865F79">
        <w:rPr>
          <w:i/>
        </w:rPr>
        <w:t>τ</w:t>
      </w:r>
      <w:r w:rsidRPr="00865F79">
        <w:rPr>
          <w:i/>
          <w:iCs/>
        </w:rPr>
        <w:t xml:space="preserve">) </w:t>
      </w:r>
      <w:r w:rsidRPr="00865F79">
        <w:rPr>
          <w:iCs/>
        </w:rPr>
        <w:t>lasketaan</w:t>
      </w:r>
      <w:r w:rsidRPr="00865F79">
        <w:rPr>
          <w:i/>
          <w:iCs/>
        </w:rPr>
        <w:t xml:space="preserve"> </w:t>
      </w:r>
      <w:r w:rsidR="00BB62D5">
        <w:t>seuraavasta lausekkeesta:</w:t>
      </w:r>
    </w:p>
    <w:p w14:paraId="73A3F93A" w14:textId="459B4452" w:rsidR="00865F79" w:rsidRPr="00865F79" w:rsidRDefault="00865F79" w:rsidP="00865F79">
      <w:r w:rsidRPr="00865F79">
        <w:tab/>
      </w:r>
      <m:oMath>
        <m:r>
          <w:rPr>
            <w:rFonts w:ascii="Cambria Math" w:hAnsi="Cambria Math"/>
          </w:rPr>
          <m:t>E</m:t>
        </m:r>
        <m:d>
          <m:dPr>
            <m:ctrlPr>
              <w:rPr>
                <w:rFonts w:ascii="Cambria Math" w:hAnsi="Cambria Math"/>
                <w:i/>
              </w:rPr>
            </m:ctrlPr>
          </m:dPr>
          <m:e>
            <m:r>
              <w:rPr>
                <w:rFonts w:ascii="Cambria Math" w:hAnsi="Cambria Math"/>
              </w:rPr>
              <m:t>τ</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h(g)</m:t>
                </m:r>
              </m:e>
              <m:sub>
                <m:r>
                  <w:rPr>
                    <w:rFonts w:ascii="Cambria Math" w:hAnsi="Cambria Math"/>
                  </w:rPr>
                  <m:t>j,s</m:t>
                </m:r>
              </m:sub>
            </m:sSub>
            <m:r>
              <w:rPr>
                <w:rFonts w:ascii="Cambria Math" w:hAnsi="Cambria Math"/>
              </w:rPr>
              <m:t>∙</m:t>
            </m:r>
            <m:sSub>
              <m:sSubPr>
                <m:ctrlPr>
                  <w:rPr>
                    <w:rFonts w:ascii="Cambria Math" w:hAnsi="Cambria Math"/>
                    <w:i/>
                  </w:rPr>
                </m:ctrlPr>
              </m:sSubPr>
              <m:e>
                <m:r>
                  <w:rPr>
                    <w:rFonts w:ascii="Cambria Math" w:hAnsi="Cambria Math"/>
                  </w:rPr>
                  <m:t>J</m:t>
                </m:r>
              </m:e>
              <m:sub>
                <m:r>
                  <w:rPr>
                    <w:rFonts w:ascii="Cambria Math" w:hAnsi="Cambria Math"/>
                  </w:rPr>
                  <m:t>j,s</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h(g)</m:t>
                    </m:r>
                  </m:e>
                  <m:sub>
                    <m:r>
                      <w:rPr>
                        <w:rFonts w:ascii="Cambria Math" w:hAnsi="Cambria Math"/>
                      </w:rPr>
                      <m:t>j,h</m:t>
                    </m:r>
                  </m:sub>
                </m:sSub>
                <m:r>
                  <w:rPr>
                    <w:rFonts w:ascii="Cambria Math" w:hAnsi="Cambria Math"/>
                  </w:rPr>
                  <m:t>∙</m:t>
                </m:r>
                <m:sSub>
                  <m:sSubPr>
                    <m:ctrlPr>
                      <w:rPr>
                        <w:rFonts w:ascii="Cambria Math" w:hAnsi="Cambria Math"/>
                        <w:i/>
                      </w:rPr>
                    </m:ctrlPr>
                  </m:sSubPr>
                  <m:e>
                    <m:r>
                      <w:rPr>
                        <w:rFonts w:ascii="Cambria Math" w:hAnsi="Cambria Math"/>
                      </w:rPr>
                      <m:t>J</m:t>
                    </m:r>
                  </m:e>
                  <m:sub>
                    <m:r>
                      <w:rPr>
                        <w:rFonts w:ascii="Cambria Math" w:hAnsi="Cambria Math"/>
                      </w:rPr>
                      <m:t>j,h</m:t>
                    </m:r>
                  </m:sub>
                </m:sSub>
              </m:e>
            </m:nary>
          </m:e>
        </m:nary>
      </m:oMath>
      <w:r w:rsidR="00BB62D5">
        <w:t xml:space="preserve"> , missä</w:t>
      </w:r>
      <w:r w:rsidR="00BB62D5">
        <w:tab/>
      </w:r>
      <w:r w:rsidR="00BB62D5">
        <w:tab/>
      </w:r>
      <w:r w:rsidRPr="00865F79">
        <w:tab/>
      </w:r>
    </w:p>
    <w:p w14:paraId="749D2BAA" w14:textId="77777777" w:rsidR="00865F79" w:rsidRPr="00865F79" w:rsidRDefault="00865F79" w:rsidP="00865F79">
      <w:pPr>
        <w:rPr>
          <w:i/>
        </w:rPr>
      </w:pPr>
      <w:r w:rsidRPr="00865F79">
        <w:rPr>
          <w:i/>
        </w:rPr>
        <w:t>h(g)</w:t>
      </w:r>
      <w:r w:rsidRPr="00865F79">
        <w:rPr>
          <w:i/>
          <w:vertAlign w:val="subscript"/>
        </w:rPr>
        <w:t>j,s</w:t>
      </w:r>
      <w:r w:rsidRPr="00865F79">
        <w:t xml:space="preserve"> ja </w:t>
      </w:r>
      <w:r w:rsidRPr="00865F79">
        <w:rPr>
          <w:i/>
        </w:rPr>
        <w:t>h(g)</w:t>
      </w:r>
      <w:r w:rsidRPr="00865F79">
        <w:rPr>
          <w:i/>
          <w:vertAlign w:val="subscript"/>
        </w:rPr>
        <w:t>j,h</w:t>
      </w:r>
      <w:r w:rsidRPr="00865F79">
        <w:tab/>
        <w:t>ovat suun (s) ja hengityksen (h) kautta kehoon joutuneen radionuklidin j annosmuuntokertoimet ikäryhmään g kuuluvalle henkilölle</w:t>
      </w:r>
      <w:r w:rsidRPr="00865F79">
        <w:rPr>
          <w:i/>
        </w:rPr>
        <w:t xml:space="preserve"> </w:t>
      </w:r>
    </w:p>
    <w:p w14:paraId="5A83EFE8" w14:textId="6AF0FE9D" w:rsidR="00865F79" w:rsidRPr="00865F79" w:rsidRDefault="00865F79" w:rsidP="00865F79">
      <w:r w:rsidRPr="00865F79">
        <w:rPr>
          <w:i/>
        </w:rPr>
        <w:t>J</w:t>
      </w:r>
      <w:r w:rsidRPr="00865F79">
        <w:rPr>
          <w:i/>
          <w:vertAlign w:val="subscript"/>
        </w:rPr>
        <w:t>j,s</w:t>
      </w:r>
      <w:r w:rsidRPr="00865F79">
        <w:t xml:space="preserve"> ja </w:t>
      </w:r>
      <w:r w:rsidRPr="00865F79">
        <w:rPr>
          <w:i/>
        </w:rPr>
        <w:t>J</w:t>
      </w:r>
      <w:r w:rsidRPr="00865F79">
        <w:rPr>
          <w:i/>
          <w:vertAlign w:val="subscript"/>
        </w:rPr>
        <w:t>j,h</w:t>
      </w:r>
      <w:r w:rsidRPr="00865F79">
        <w:t xml:space="preserve"> </w:t>
      </w:r>
      <w:r w:rsidRPr="00865F79">
        <w:tab/>
        <w:t>ovat suun ja hengityksen kautta kehoon j</w:t>
      </w:r>
      <w:r w:rsidR="00BB62D5">
        <w:t>outuneen radionuklidin j saanti</w:t>
      </w:r>
    </w:p>
    <w:p w14:paraId="59960482" w14:textId="433839AE" w:rsidR="00865F79" w:rsidRPr="00BB62D5" w:rsidRDefault="00BB62D5" w:rsidP="00865F79">
      <w:pPr>
        <w:rPr>
          <w:b/>
        </w:rPr>
      </w:pPr>
      <w:r>
        <w:rPr>
          <w:b/>
        </w:rPr>
        <w:t xml:space="preserve">1.2. </w:t>
      </w:r>
      <w:r w:rsidR="00865F79" w:rsidRPr="00865F79">
        <w:rPr>
          <w:b/>
        </w:rPr>
        <w:t>Jalokaasut</w:t>
      </w:r>
    </w:p>
    <w:p w14:paraId="557FCA7A" w14:textId="4BB7B4B6" w:rsidR="00865F79" w:rsidRPr="00865F79" w:rsidRDefault="00865F79" w:rsidP="00865F79">
      <w:r w:rsidRPr="00865F79">
        <w:t xml:space="preserve">Radonille ja toronille efektiivinen annos </w:t>
      </w:r>
      <w:r w:rsidRPr="00865F79">
        <w:rPr>
          <w:i/>
          <w:iCs/>
        </w:rPr>
        <w:t xml:space="preserve">E </w:t>
      </w:r>
      <w:r w:rsidR="00BB62D5">
        <w:t>lasketaan kaavasta:</w:t>
      </w:r>
    </w:p>
    <w:p w14:paraId="228790C0" w14:textId="77777777" w:rsidR="00865F79" w:rsidRPr="00865F79" w:rsidRDefault="00865F79" w:rsidP="00865F79">
      <w:r w:rsidRPr="00865F79">
        <w:rPr>
          <w:i/>
          <w:iCs/>
        </w:rPr>
        <w:t xml:space="preserve">E = h · W , </w:t>
      </w:r>
      <w:r w:rsidRPr="00865F79">
        <w:rPr>
          <w:iCs/>
        </w:rPr>
        <w:t>missä</w:t>
      </w:r>
      <w:r w:rsidRPr="00865F79">
        <w:rPr>
          <w:i/>
          <w:iCs/>
        </w:rPr>
        <w:tab/>
      </w:r>
      <w:r w:rsidRPr="00865F79">
        <w:rPr>
          <w:i/>
          <w:iCs/>
        </w:rPr>
        <w:tab/>
      </w:r>
      <w:r w:rsidRPr="00865F79">
        <w:rPr>
          <w:i/>
          <w:iCs/>
        </w:rPr>
        <w:tab/>
      </w:r>
      <w:r w:rsidRPr="00865F79">
        <w:rPr>
          <w:i/>
          <w:iCs/>
        </w:rPr>
        <w:tab/>
      </w:r>
      <w:r w:rsidRPr="00865F79">
        <w:rPr>
          <w:i/>
          <w:iCs/>
        </w:rPr>
        <w:tab/>
      </w:r>
    </w:p>
    <w:p w14:paraId="45C8D4D7" w14:textId="77777777" w:rsidR="00865F79" w:rsidRPr="00865F79" w:rsidRDefault="00865F79" w:rsidP="00865F79">
      <w:r w:rsidRPr="00865F79">
        <w:rPr>
          <w:i/>
          <w:iCs/>
        </w:rPr>
        <w:t>h</w:t>
      </w:r>
      <w:r w:rsidRPr="00865F79">
        <w:rPr>
          <w:i/>
          <w:iCs/>
        </w:rPr>
        <w:tab/>
      </w:r>
      <w:r w:rsidRPr="00865F79">
        <w:t>on hajoamistuotteiden annosmuuntokerroin</w:t>
      </w:r>
    </w:p>
    <w:p w14:paraId="65F27A77" w14:textId="54E22212" w:rsidR="00865F79" w:rsidRPr="00865F79" w:rsidRDefault="00865F79" w:rsidP="00865F79">
      <w:r w:rsidRPr="00865F79">
        <w:rPr>
          <w:i/>
          <w:iCs/>
        </w:rPr>
        <w:t>W</w:t>
      </w:r>
      <w:r w:rsidRPr="00865F79">
        <w:rPr>
          <w:i/>
          <w:iCs/>
        </w:rPr>
        <w:tab/>
      </w:r>
      <w:r w:rsidRPr="00865F79">
        <w:t>on poten</w:t>
      </w:r>
      <w:r w:rsidR="00BB62D5">
        <w:t>tiaalinen alfaenergia-altistus.</w:t>
      </w:r>
    </w:p>
    <w:p w14:paraId="19D9533F" w14:textId="745D4BBB" w:rsidR="00865F79" w:rsidRPr="00865F79" w:rsidRDefault="00865F79" w:rsidP="00865F79">
      <w:r w:rsidRPr="00865F79">
        <w:t xml:space="preserve">Potentiaalinen alfaenergia-altistus </w:t>
      </w:r>
      <w:r w:rsidRPr="00865F79">
        <w:rPr>
          <w:i/>
        </w:rPr>
        <w:t>W</w:t>
      </w:r>
      <w:r w:rsidRPr="00865F79">
        <w:t xml:space="preserve"> on alfaenergiapitoisuuden ja altistusajan tulo ja alfaenergia-altistuksen yksikkö on (J h m</w:t>
      </w:r>
      <w:r w:rsidRPr="00865F79">
        <w:rPr>
          <w:vertAlign w:val="superscript"/>
        </w:rPr>
        <w:t>-3</w:t>
      </w:r>
      <w:r w:rsidRPr="00865F79">
        <w:t>). Alfaenergiapitoisuus C(AE) on radonin ja toronin hajoamisketjuissa syntyvän tytärnuklidiseoksen potentiaalisten alfaenergioiden summa tilavuusyksikköä kohti. Alfaenergiapitoisuuden mittayksikkö on (J m</w:t>
      </w:r>
      <w:r w:rsidRPr="00865F79">
        <w:rPr>
          <w:vertAlign w:val="superscript"/>
        </w:rPr>
        <w:t>-3</w:t>
      </w:r>
      <w:r w:rsidR="00BB62D5">
        <w:t>).</w:t>
      </w:r>
    </w:p>
    <w:p w14:paraId="415B5A33" w14:textId="77777777" w:rsidR="00865F79" w:rsidRPr="00865F79" w:rsidRDefault="00865F79" w:rsidP="00865F79">
      <w:r w:rsidRPr="00865F79">
        <w:t>Alfaenergiapitoisuus C(AE) voidaan arvioida radon- tai toronmittauksen perusteella seuraavasti:</w:t>
      </w:r>
    </w:p>
    <w:p w14:paraId="68A026D9" w14:textId="77777777" w:rsidR="00865F79" w:rsidRPr="006C7A03" w:rsidRDefault="00865F79" w:rsidP="00865F79">
      <w:r w:rsidRPr="006C7A03">
        <w:t>C(AE) = F x C(Rn) x 5,56E-9 J/Bq</w:t>
      </w:r>
    </w:p>
    <w:p w14:paraId="62FF483E" w14:textId="77777777" w:rsidR="00865F79" w:rsidRPr="006C7A03" w:rsidRDefault="00865F79" w:rsidP="00865F79">
      <w:r w:rsidRPr="006C7A03">
        <w:t>C(AE)=F x C(Tn) x 7,56E-8 J/Bq</w:t>
      </w:r>
    </w:p>
    <w:p w14:paraId="29B5D3B0" w14:textId="4C02B995" w:rsidR="00865F79" w:rsidRPr="00865F79" w:rsidRDefault="00865F79" w:rsidP="00865F79">
      <w:r w:rsidRPr="00865F79">
        <w:t>missä tasapainotekij</w:t>
      </w:r>
      <w:r w:rsidR="00BB62D5">
        <w:t>älle F käytetään lukuarvoa 0,5.</w:t>
      </w:r>
    </w:p>
    <w:p w14:paraId="3F86C5A7" w14:textId="58089037" w:rsidR="00865F79" w:rsidRPr="00865F79" w:rsidRDefault="00DD5D48" w:rsidP="00865F79">
      <w:r>
        <w:lastRenderedPageBreak/>
        <w:t>H</w:t>
      </w:r>
      <w:r w:rsidR="00865F79" w:rsidRPr="00865F79">
        <w:t xml:space="preserve">ajoamistuotteiden muuntokertoimien </w:t>
      </w:r>
      <w:r w:rsidR="00865F79" w:rsidRPr="00865F79">
        <w:rPr>
          <w:i/>
          <w:iCs/>
        </w:rPr>
        <w:t xml:space="preserve">h </w:t>
      </w:r>
      <w:r w:rsidR="00865F79" w:rsidRPr="00865F79">
        <w:t>yksikkö on Sv J</w:t>
      </w:r>
      <w:r w:rsidR="00865F79" w:rsidRPr="00865F79">
        <w:rPr>
          <w:vertAlign w:val="superscript"/>
        </w:rPr>
        <w:t>-1</w:t>
      </w:r>
      <w:r w:rsidR="00865F79" w:rsidRPr="00865F79">
        <w:t xml:space="preserve"> h</w:t>
      </w:r>
      <w:r w:rsidR="00865F79" w:rsidRPr="00865F79">
        <w:rPr>
          <w:vertAlign w:val="superscript"/>
        </w:rPr>
        <w:t>-1</w:t>
      </w:r>
      <w:r w:rsidR="00865F79" w:rsidRPr="00865F79">
        <w:t xml:space="preserve"> m</w:t>
      </w:r>
      <w:r w:rsidR="00865F79" w:rsidRPr="00865F79">
        <w:rPr>
          <w:vertAlign w:val="superscript"/>
        </w:rPr>
        <w:t>3</w:t>
      </w:r>
      <w:r w:rsidR="00865F79" w:rsidRPr="00865F79">
        <w:t>. Kertoimille käytetään seuraavia lukuarvoja</w:t>
      </w:r>
      <w:r w:rsidR="00865F79" w:rsidRPr="00865F79">
        <w:rPr>
          <w:vertAlign w:val="superscript"/>
        </w:rPr>
        <w:footnoteReference w:id="2"/>
      </w:r>
      <w:r w:rsidR="00865F79" w:rsidRPr="00865F79">
        <w:t>:</w:t>
      </w:r>
    </w:p>
    <w:p w14:paraId="305972C8" w14:textId="77777777" w:rsidR="00865F79" w:rsidRPr="00865F79" w:rsidRDefault="00865F79" w:rsidP="00624C57">
      <w:pPr>
        <w:numPr>
          <w:ilvl w:val="0"/>
          <w:numId w:val="24"/>
        </w:numPr>
      </w:pPr>
      <w:r w:rsidRPr="00865F79">
        <w:t>radon asunnoissa: 1,1</w:t>
      </w:r>
    </w:p>
    <w:p w14:paraId="729537B2" w14:textId="77777777" w:rsidR="00865F79" w:rsidRPr="00865F79" w:rsidRDefault="00865F79" w:rsidP="00624C57">
      <w:pPr>
        <w:numPr>
          <w:ilvl w:val="0"/>
          <w:numId w:val="24"/>
        </w:numPr>
      </w:pPr>
      <w:r w:rsidRPr="00865F79">
        <w:t>radon työpaikalla: 1,4</w:t>
      </w:r>
    </w:p>
    <w:p w14:paraId="06D15697" w14:textId="4E422399" w:rsidR="00865F79" w:rsidRPr="00865F79" w:rsidRDefault="00865F79" w:rsidP="00624C57">
      <w:pPr>
        <w:numPr>
          <w:ilvl w:val="0"/>
          <w:numId w:val="24"/>
        </w:numPr>
      </w:pPr>
      <w:r w:rsidRPr="00865F79">
        <w:t>toron työpaikalla: 0,5.</w:t>
      </w:r>
    </w:p>
    <w:p w14:paraId="46ABF3C4" w14:textId="4C1AE2B4" w:rsidR="00865F79" w:rsidRPr="00865F79" w:rsidRDefault="00865F79" w:rsidP="00865F79">
      <w:r w:rsidRPr="00865F79">
        <w:t xml:space="preserve">Argon-, krypton- ja ksenonisotooppien tuottamasta ulkoisesta säteilystä aiheutuva efektiivinen annos </w:t>
      </w:r>
      <w:r w:rsidRPr="00865F79">
        <w:rPr>
          <w:i/>
          <w:iCs/>
        </w:rPr>
        <w:t xml:space="preserve">E </w:t>
      </w:r>
      <w:r w:rsidRPr="00865F79">
        <w:rPr>
          <w:iCs/>
        </w:rPr>
        <w:t xml:space="preserve">lasketaan </w:t>
      </w:r>
      <w:r w:rsidR="00BB62D5">
        <w:t xml:space="preserve"> kaavasta:</w:t>
      </w:r>
    </w:p>
    <w:p w14:paraId="69E4FDE9" w14:textId="77777777" w:rsidR="00A24A03" w:rsidRDefault="00865F79" w:rsidP="00865F79">
      <w:r w:rsidRPr="00865F79">
        <w:tab/>
      </w:r>
      <m:oMath>
        <m:r>
          <w:rPr>
            <w:rFonts w:ascii="Cambria Math" w:hAnsi="Cambria Math"/>
          </w:rPr>
          <m:t>E=</m:t>
        </m:r>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h</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j</m:t>
                </m:r>
              </m:sub>
            </m:sSub>
          </m:e>
        </m:nary>
      </m:oMath>
      <w:r w:rsidR="00BB62D5">
        <w:t xml:space="preserve">  , </w:t>
      </w:r>
      <w:r w:rsidRPr="00865F79">
        <w:t>missä</w:t>
      </w:r>
      <w:r w:rsidRPr="00865F79">
        <w:tab/>
      </w:r>
    </w:p>
    <w:p w14:paraId="206E19BF" w14:textId="10EDC28B" w:rsidR="00865F79" w:rsidRPr="00865F79" w:rsidRDefault="00865F79" w:rsidP="00865F79">
      <w:r w:rsidRPr="00865F79">
        <w:rPr>
          <w:i/>
          <w:iCs/>
        </w:rPr>
        <w:t>h</w:t>
      </w:r>
      <w:r w:rsidRPr="00865F79">
        <w:rPr>
          <w:i/>
          <w:iCs/>
          <w:vertAlign w:val="subscript"/>
        </w:rPr>
        <w:t xml:space="preserve">j </w:t>
      </w:r>
      <w:r w:rsidRPr="00865F79">
        <w:tab/>
        <w:t xml:space="preserve">on nuklidin </w:t>
      </w:r>
      <w:r w:rsidRPr="00865F79">
        <w:rPr>
          <w:i/>
          <w:iCs/>
        </w:rPr>
        <w:t xml:space="preserve">j </w:t>
      </w:r>
      <w:r w:rsidRPr="00865F79">
        <w:rPr>
          <w:iCs/>
        </w:rPr>
        <w:t>annos</w:t>
      </w:r>
      <w:r w:rsidRPr="00865F79">
        <w:t>muuntokerroin</w:t>
      </w:r>
    </w:p>
    <w:p w14:paraId="3ADE853C" w14:textId="77777777" w:rsidR="00865F79" w:rsidRPr="00865F79" w:rsidRDefault="00865F79" w:rsidP="00865F79">
      <w:r w:rsidRPr="00865F79">
        <w:rPr>
          <w:i/>
          <w:iCs/>
        </w:rPr>
        <w:t>c</w:t>
      </w:r>
      <w:r w:rsidRPr="00865F79">
        <w:rPr>
          <w:i/>
          <w:iCs/>
          <w:vertAlign w:val="subscript"/>
        </w:rPr>
        <w:t xml:space="preserve">j </w:t>
      </w:r>
      <w:r w:rsidRPr="00865F79">
        <w:tab/>
        <w:t xml:space="preserve">on nuklidin </w:t>
      </w:r>
      <w:r w:rsidRPr="00865F79">
        <w:rPr>
          <w:i/>
          <w:iCs/>
        </w:rPr>
        <w:t xml:space="preserve">j </w:t>
      </w:r>
      <w:r w:rsidRPr="00865F79">
        <w:t>aktiivisuuspitoisuus tai pitoisuuden keskiarvo altistusaikana</w:t>
      </w:r>
    </w:p>
    <w:p w14:paraId="6BD76788" w14:textId="19172D66" w:rsidR="00865F79" w:rsidRPr="00865F79" w:rsidRDefault="00865F79" w:rsidP="00865F79">
      <w:r w:rsidRPr="00865F79">
        <w:rPr>
          <w:i/>
          <w:iCs/>
        </w:rPr>
        <w:t>t</w:t>
      </w:r>
      <w:r w:rsidRPr="00865F79">
        <w:rPr>
          <w:i/>
          <w:iCs/>
          <w:vertAlign w:val="subscript"/>
        </w:rPr>
        <w:t xml:space="preserve">j </w:t>
      </w:r>
      <w:r w:rsidRPr="00865F79">
        <w:rPr>
          <w:i/>
          <w:iCs/>
        </w:rPr>
        <w:tab/>
      </w:r>
      <w:r w:rsidRPr="00865F79">
        <w:t xml:space="preserve">on altistusaika nuklidille </w:t>
      </w:r>
      <w:r w:rsidRPr="00865F79">
        <w:rPr>
          <w:i/>
          <w:iCs/>
        </w:rPr>
        <w:t>j</w:t>
      </w:r>
      <w:r w:rsidR="00BB62D5">
        <w:t>.</w:t>
      </w:r>
    </w:p>
    <w:p w14:paraId="741ACDC4" w14:textId="034DEA18" w:rsidR="00865F79" w:rsidRDefault="00865F79" w:rsidP="00865F79">
      <w:r w:rsidRPr="00865F79">
        <w:t xml:space="preserve">Liitteen taulukossa </w:t>
      </w:r>
      <w:r w:rsidRPr="00865F79">
        <w:rPr>
          <w:i/>
          <w:iCs/>
        </w:rPr>
        <w:t xml:space="preserve">H </w:t>
      </w:r>
      <w:r w:rsidRPr="00865F79">
        <w:t xml:space="preserve">on esitetty muuntokertoimien </w:t>
      </w:r>
      <w:r w:rsidRPr="00865F79">
        <w:rPr>
          <w:i/>
          <w:iCs/>
        </w:rPr>
        <w:t>h</w:t>
      </w:r>
      <w:r w:rsidRPr="00865F79">
        <w:rPr>
          <w:i/>
          <w:iCs/>
          <w:vertAlign w:val="subscript"/>
        </w:rPr>
        <w:t>j</w:t>
      </w:r>
      <w:r w:rsidRPr="00865F79">
        <w:rPr>
          <w:i/>
          <w:iCs/>
        </w:rPr>
        <w:t xml:space="preserve"> </w:t>
      </w:r>
      <w:r w:rsidRPr="00865F79">
        <w:t>arvot argonin, kryptonin ja ksenonin isotoopeille. Muuntokertoimien yksikkö on (Sv d</w:t>
      </w:r>
      <w:r w:rsidRPr="00865F79">
        <w:rPr>
          <w:vertAlign w:val="superscript"/>
        </w:rPr>
        <w:t>-1</w:t>
      </w:r>
      <w:r w:rsidRPr="00865F79">
        <w:t xml:space="preserve"> Bq</w:t>
      </w:r>
      <w:r w:rsidRPr="00865F79">
        <w:rPr>
          <w:vertAlign w:val="superscript"/>
        </w:rPr>
        <w:t>-1</w:t>
      </w:r>
      <w:r w:rsidRPr="00865F79">
        <w:t xml:space="preserve"> m</w:t>
      </w:r>
      <w:r w:rsidRPr="00865F79">
        <w:rPr>
          <w:vertAlign w:val="superscript"/>
        </w:rPr>
        <w:t>3</w:t>
      </w:r>
      <w:r w:rsidR="00BB62D5">
        <w:t>).</w:t>
      </w:r>
    </w:p>
    <w:p w14:paraId="454BAD8E" w14:textId="77777777" w:rsidR="00BB62D5" w:rsidRPr="00865F79" w:rsidRDefault="00BB62D5" w:rsidP="00865F79"/>
    <w:p w14:paraId="2985F960" w14:textId="020A838D" w:rsidR="00865F79" w:rsidRPr="00BB62D5" w:rsidRDefault="00865F79" w:rsidP="000B2864">
      <w:pPr>
        <w:pStyle w:val="Luettelokappale"/>
        <w:numPr>
          <w:ilvl w:val="0"/>
          <w:numId w:val="43"/>
        </w:numPr>
        <w:rPr>
          <w:b/>
        </w:rPr>
      </w:pPr>
      <w:r w:rsidRPr="00BB62D5">
        <w:rPr>
          <w:b/>
        </w:rPr>
        <w:t xml:space="preserve">Efektiivisen annoksen kertymän laskemisessa käytettävät muuntokertoimet ja parametrit </w:t>
      </w:r>
    </w:p>
    <w:p w14:paraId="00A98068" w14:textId="485E3C85" w:rsidR="00CB58FA" w:rsidRPr="00DD5D48" w:rsidRDefault="00CB58FA" w:rsidP="00DD5D48">
      <w:pPr>
        <w:ind w:left="2608" w:hanging="2608"/>
        <w:rPr>
          <w:color w:val="0070C0"/>
        </w:rPr>
      </w:pPr>
      <w:r w:rsidRPr="00DD5D48">
        <w:rPr>
          <w:color w:val="0070C0"/>
        </w:rPr>
        <w:t xml:space="preserve">[Taulukot A-H esitetään vasta asetuksen lopullisessa versiossa. Taulukot ovat samat kuin ohjeen ST </w:t>
      </w:r>
      <w:r w:rsidR="00DD5D48" w:rsidRPr="00DD5D48">
        <w:rPr>
          <w:color w:val="0070C0"/>
        </w:rPr>
        <w:t>7.3 liitteenä olevat taulukot A-H.</w:t>
      </w:r>
      <w:r w:rsidRPr="00DD5D48">
        <w:rPr>
          <w:color w:val="0070C0"/>
        </w:rPr>
        <w:t>]</w:t>
      </w:r>
    </w:p>
    <w:p w14:paraId="13BCAF65" w14:textId="01AFC165" w:rsidR="00865F79" w:rsidRPr="00865F79" w:rsidRDefault="00865F79" w:rsidP="00CB58FA">
      <w:pPr>
        <w:ind w:left="2608" w:hanging="2608"/>
      </w:pPr>
      <w:r w:rsidRPr="00865F79">
        <w:t>TAULUKKO A</w:t>
      </w:r>
      <w:r w:rsidRPr="00865F79">
        <w:tab/>
        <w:t xml:space="preserve">Suun kautta kehoon joutuneiden radionuklidien annosmuuntokertoimien </w:t>
      </w:r>
      <w:r w:rsidRPr="00865F79">
        <w:rPr>
          <w:i/>
          <w:iCs/>
        </w:rPr>
        <w:t xml:space="preserve">h(g) </w:t>
      </w:r>
      <w:r w:rsidRPr="00865F79">
        <w:t xml:space="preserve">arvot väestölle. </w:t>
      </w:r>
    </w:p>
    <w:p w14:paraId="48A16F29" w14:textId="77777777" w:rsidR="00865F79" w:rsidRPr="00865F79" w:rsidRDefault="00865F79" w:rsidP="00865F79"/>
    <w:p w14:paraId="74325DF2" w14:textId="77777777" w:rsidR="00865F79" w:rsidRPr="00865F79" w:rsidRDefault="00865F79" w:rsidP="00865F79">
      <w:r w:rsidRPr="00865F79">
        <w:t>TAULUKKO B</w:t>
      </w:r>
      <w:r w:rsidRPr="00865F79">
        <w:tab/>
      </w:r>
      <w:r w:rsidRPr="00865F79">
        <w:tab/>
        <w:t>Hengityksen kautta kehoon joutuneiden radionuklidien annosmuuntokertoimien</w:t>
      </w:r>
    </w:p>
    <w:p w14:paraId="4B4AF5E3" w14:textId="77777777" w:rsidR="00865F79" w:rsidRPr="00865F79" w:rsidRDefault="00865F79" w:rsidP="00CB58FA">
      <w:pPr>
        <w:ind w:left="1304" w:firstLine="1304"/>
      </w:pPr>
      <w:r w:rsidRPr="00865F79">
        <w:rPr>
          <w:i/>
          <w:iCs/>
        </w:rPr>
        <w:t xml:space="preserve">h(g) </w:t>
      </w:r>
      <w:r w:rsidRPr="00865F79">
        <w:t>arvot väestölle.</w:t>
      </w:r>
    </w:p>
    <w:p w14:paraId="15C7F1BD" w14:textId="77777777" w:rsidR="00865F79" w:rsidRPr="00865F79" w:rsidRDefault="00865F79" w:rsidP="00865F79"/>
    <w:p w14:paraId="3291A532" w14:textId="77777777" w:rsidR="00865F79" w:rsidRPr="00865F79" w:rsidRDefault="00865F79" w:rsidP="00CB58FA">
      <w:pPr>
        <w:ind w:left="2608" w:hanging="2608"/>
      </w:pPr>
      <w:r w:rsidRPr="00865F79">
        <w:t>TAULUKKO C1</w:t>
      </w:r>
      <w:r w:rsidRPr="00865F79">
        <w:tab/>
        <w:t xml:space="preserve">Suun tai hengityksen kautta kehoon joutuneiden radionuklidien annosmuuntokertoimien </w:t>
      </w:r>
      <w:r w:rsidRPr="00865F79">
        <w:rPr>
          <w:i/>
          <w:iCs/>
        </w:rPr>
        <w:t xml:space="preserve">h(g) </w:t>
      </w:r>
      <w:r w:rsidRPr="00865F79">
        <w:t>arvot säteilytyötä tekeville työntekijöille.</w:t>
      </w:r>
    </w:p>
    <w:p w14:paraId="187B3839" w14:textId="77777777" w:rsidR="00865F79" w:rsidRPr="00865F79" w:rsidRDefault="00865F79" w:rsidP="00865F79"/>
    <w:p w14:paraId="4A289A01" w14:textId="77777777" w:rsidR="00865F79" w:rsidRPr="00865F79" w:rsidRDefault="00865F79" w:rsidP="00CB58FA">
      <w:pPr>
        <w:ind w:left="2608" w:hanging="2608"/>
      </w:pPr>
      <w:r w:rsidRPr="00865F79">
        <w:t>TAULUKKO C2</w:t>
      </w:r>
      <w:r w:rsidRPr="00865F79">
        <w:tab/>
        <w:t xml:space="preserve">Hengityksen kautta kehoon joutuneiden liukoisten tai reaktiivisten kaasujen ja höyryjen annosmuuntokertoimien </w:t>
      </w:r>
      <w:r w:rsidRPr="00865F79">
        <w:rPr>
          <w:i/>
          <w:iCs/>
        </w:rPr>
        <w:t xml:space="preserve">h(g) </w:t>
      </w:r>
      <w:r w:rsidRPr="00865F79">
        <w:t>arvot säteilytyötä tekeville työntekijöille.</w:t>
      </w:r>
    </w:p>
    <w:p w14:paraId="12A8F427" w14:textId="77777777" w:rsidR="00865F79" w:rsidRPr="00865F79" w:rsidRDefault="00865F79" w:rsidP="00865F79"/>
    <w:p w14:paraId="76AB4332" w14:textId="2271B591" w:rsidR="00865F79" w:rsidRPr="00865F79" w:rsidRDefault="00865F79" w:rsidP="00CB58FA">
      <w:pPr>
        <w:ind w:left="2608" w:hanging="2608"/>
      </w:pPr>
      <w:r w:rsidRPr="00865F79">
        <w:lastRenderedPageBreak/>
        <w:t>TAULUKKO D</w:t>
      </w:r>
      <w:r w:rsidRPr="00865F79">
        <w:tab/>
      </w:r>
      <w:r w:rsidR="00CB58FA">
        <w:t xml:space="preserve"> </w:t>
      </w:r>
      <w:r w:rsidRPr="00865F79">
        <w:t xml:space="preserve">Suun kautta kehoon joutuneiden aineiden siirtokertoimien </w:t>
      </w:r>
      <w:r w:rsidRPr="00865F79">
        <w:rPr>
          <w:i/>
          <w:iCs/>
        </w:rPr>
        <w:t>f</w:t>
      </w:r>
      <w:r w:rsidRPr="00865F79">
        <w:rPr>
          <w:i/>
          <w:iCs/>
          <w:vertAlign w:val="subscript"/>
        </w:rPr>
        <w:t>1</w:t>
      </w:r>
      <w:r w:rsidRPr="00865F79">
        <w:rPr>
          <w:i/>
          <w:iCs/>
        </w:rPr>
        <w:t xml:space="preserve"> </w:t>
      </w:r>
      <w:r w:rsidRPr="00865F79">
        <w:t>arvot säteilytyötä tekeville työntekijöille eriteltyinä alkuaineittain ja yhdisteittäin. Kertoimia voidaan soveltaa myös väestöön.</w:t>
      </w:r>
    </w:p>
    <w:p w14:paraId="233DDCDC" w14:textId="77777777" w:rsidR="00865F79" w:rsidRPr="00865F79" w:rsidRDefault="00865F79" w:rsidP="00865F79"/>
    <w:p w14:paraId="174EBBF7" w14:textId="6A52AF4A" w:rsidR="00865F79" w:rsidRPr="00865F79" w:rsidRDefault="00865F79" w:rsidP="00CB58FA">
      <w:pPr>
        <w:ind w:left="2608" w:hanging="2608"/>
      </w:pPr>
      <w:r w:rsidRPr="00865F79">
        <w:t>TAULUKKO E</w:t>
      </w:r>
      <w:r w:rsidR="00CB58FA">
        <w:t xml:space="preserve"> </w:t>
      </w:r>
      <w:r w:rsidRPr="00865F79">
        <w:tab/>
        <w:t xml:space="preserve">Hengityksen kautta kehoon joutuneiden aineiden keuhkoabsorptioluokat ja siirtokertoimien </w:t>
      </w:r>
      <w:r w:rsidRPr="00865F79">
        <w:rPr>
          <w:i/>
          <w:iCs/>
        </w:rPr>
        <w:t>f</w:t>
      </w:r>
      <w:r w:rsidRPr="00865F79">
        <w:rPr>
          <w:i/>
          <w:iCs/>
          <w:vertAlign w:val="subscript"/>
        </w:rPr>
        <w:t>1</w:t>
      </w:r>
      <w:r w:rsidRPr="00865F79">
        <w:rPr>
          <w:i/>
          <w:iCs/>
        </w:rPr>
        <w:t>-</w:t>
      </w:r>
      <w:r w:rsidRPr="00865F79">
        <w:t>arvot säteilytyötä tekeville työntekijöille eriteltyinä alkuaineittain ja yhdisteittäin.</w:t>
      </w:r>
    </w:p>
    <w:p w14:paraId="428DB69E" w14:textId="77777777" w:rsidR="00865F79" w:rsidRPr="00865F79" w:rsidRDefault="00865F79" w:rsidP="00865F79"/>
    <w:p w14:paraId="51A3949A" w14:textId="3F80BAD3" w:rsidR="00865F79" w:rsidRPr="00865F79" w:rsidRDefault="00865F79" w:rsidP="00CB58FA">
      <w:pPr>
        <w:ind w:left="2608" w:hanging="2608"/>
      </w:pPr>
      <w:r w:rsidRPr="00865F79">
        <w:t>TAULUKKO F</w:t>
      </w:r>
      <w:r w:rsidR="00CB58FA">
        <w:t xml:space="preserve"> </w:t>
      </w:r>
      <w:r w:rsidRPr="00865F79">
        <w:tab/>
        <w:t>Kirjallisuusviitteet alkuaineiden ja yhdisteiden keuhkoabsorptioluokille väestön altistuessa hengityksen kautta.</w:t>
      </w:r>
    </w:p>
    <w:p w14:paraId="0B88C38C" w14:textId="77777777" w:rsidR="00865F79" w:rsidRPr="00865F79" w:rsidRDefault="00865F79" w:rsidP="00865F79"/>
    <w:p w14:paraId="18C27F0B" w14:textId="7F4F2FE6" w:rsidR="00865F79" w:rsidRPr="00865F79" w:rsidRDefault="00865F79" w:rsidP="00CB58FA">
      <w:pPr>
        <w:ind w:left="2608" w:hanging="2608"/>
      </w:pPr>
      <w:r w:rsidRPr="00865F79">
        <w:t>TAULUKKO G</w:t>
      </w:r>
      <w:r w:rsidRPr="00865F79">
        <w:tab/>
      </w:r>
      <w:r w:rsidR="00CB58FA">
        <w:t xml:space="preserve"> </w:t>
      </w:r>
      <w:r w:rsidRPr="00865F79">
        <w:t xml:space="preserve">Hengityksen kautta kehoon joutuneiden liukoisten tai reaktiivisten kaasujen ja höyryjen annosmuuntokertoimien </w:t>
      </w:r>
      <w:r w:rsidRPr="00865F79">
        <w:rPr>
          <w:i/>
          <w:iCs/>
        </w:rPr>
        <w:t xml:space="preserve">h(g) </w:t>
      </w:r>
      <w:r w:rsidRPr="00865F79">
        <w:t>arvot väestölle.</w:t>
      </w:r>
    </w:p>
    <w:p w14:paraId="789090C6" w14:textId="77777777" w:rsidR="00865F79" w:rsidRPr="00865F79" w:rsidRDefault="00865F79" w:rsidP="00865F79"/>
    <w:p w14:paraId="4588B293" w14:textId="1BED7B8D" w:rsidR="00865F79" w:rsidRDefault="00865F79" w:rsidP="00CB58FA">
      <w:pPr>
        <w:ind w:left="2608" w:hanging="2608"/>
      </w:pPr>
      <w:r w:rsidRPr="00865F79">
        <w:t>TAULUKKO H</w:t>
      </w:r>
      <w:r w:rsidRPr="00865F79">
        <w:tab/>
      </w:r>
      <w:r w:rsidR="00CB58FA">
        <w:t xml:space="preserve"> </w:t>
      </w:r>
      <w:r w:rsidRPr="00865F79">
        <w:t xml:space="preserve">Jalokaasuista argon, krypton ja ksenon aiheutuvan efektiivisen annoksen muuntokertoimien </w:t>
      </w:r>
      <w:r w:rsidRPr="00865F79">
        <w:rPr>
          <w:i/>
          <w:iCs/>
        </w:rPr>
        <w:t>h</w:t>
      </w:r>
      <w:r w:rsidRPr="00865F79">
        <w:rPr>
          <w:i/>
          <w:iCs/>
          <w:vertAlign w:val="subscript"/>
        </w:rPr>
        <w:t>j</w:t>
      </w:r>
      <w:r w:rsidRPr="00865F79">
        <w:rPr>
          <w:i/>
          <w:iCs/>
        </w:rPr>
        <w:t>-</w:t>
      </w:r>
      <w:r w:rsidR="00BB62D5">
        <w:t>arvot aikuisille.</w:t>
      </w:r>
    </w:p>
    <w:p w14:paraId="09FF6071" w14:textId="77777777" w:rsidR="00D85BBA" w:rsidRDefault="00D85BBA">
      <w:pPr>
        <w:rPr>
          <w:rFonts w:asciiTheme="majorHAnsi" w:eastAsiaTheme="majorEastAsia" w:hAnsiTheme="majorHAnsi" w:cstheme="majorBidi"/>
          <w:b/>
          <w:bCs/>
          <w:color w:val="003871" w:themeColor="accent1" w:themeShade="BF"/>
          <w:sz w:val="28"/>
          <w:szCs w:val="28"/>
        </w:rPr>
      </w:pPr>
      <w:r>
        <w:br w:type="page"/>
      </w:r>
    </w:p>
    <w:p w14:paraId="639E2FE5" w14:textId="32C6A6F2" w:rsidR="00865F79" w:rsidRDefault="00BB62D5" w:rsidP="00115A59">
      <w:pPr>
        <w:pStyle w:val="Otsikko1"/>
      </w:pPr>
      <w:r>
        <w:lastRenderedPageBreak/>
        <w:t>LIITE</w:t>
      </w:r>
      <w:r w:rsidR="00115A59">
        <w:t xml:space="preserve"> </w:t>
      </w:r>
      <w:r w:rsidR="001B2972">
        <w:t>4</w:t>
      </w:r>
    </w:p>
    <w:p w14:paraId="48383F19" w14:textId="2A9BDEE9" w:rsidR="002C5634" w:rsidRDefault="002C5634" w:rsidP="002C5634">
      <w:r w:rsidRPr="002C5634">
        <w:rPr>
          <w:b/>
        </w:rPr>
        <w:t>TURVALLISUUSLUPAHAKEMUKSESSA ESITETTÄVÄT TIEDOT</w:t>
      </w:r>
    </w:p>
    <w:p w14:paraId="65A04170" w14:textId="77777777" w:rsidR="00A966D8" w:rsidRDefault="002C5634" w:rsidP="000B2864">
      <w:pPr>
        <w:pStyle w:val="Luettelokappale"/>
        <w:numPr>
          <w:ilvl w:val="0"/>
          <w:numId w:val="41"/>
        </w:numPr>
      </w:pPr>
      <w:r w:rsidRPr="002C5634">
        <w:t>Turvallisuuslupahakemuksessa on esitettävä toiminnan laadun ja laajuuden mukaan toiminnasta ja sen harjoittamispaikasta:</w:t>
      </w:r>
    </w:p>
    <w:p w14:paraId="30788047" w14:textId="7A5F639C" w:rsidR="00A966D8" w:rsidRDefault="002C5634" w:rsidP="000B2864">
      <w:pPr>
        <w:pStyle w:val="Luettelokappale"/>
        <w:numPr>
          <w:ilvl w:val="1"/>
          <w:numId w:val="41"/>
        </w:numPr>
      </w:pPr>
      <w:r w:rsidRPr="002C5634">
        <w:t>kuvaus toiminnasta ja sen tarkoituksesta</w:t>
      </w:r>
      <w:r w:rsidR="00992F9E">
        <w:t>,</w:t>
      </w:r>
      <w:r w:rsidRPr="002C5634">
        <w:t xml:space="preserve"> jos kyseessä on uudentyyppinen toiminta;</w:t>
      </w:r>
    </w:p>
    <w:p w14:paraId="375612B2" w14:textId="77777777" w:rsidR="00A966D8" w:rsidRDefault="002C5634" w:rsidP="000B2864">
      <w:pPr>
        <w:pStyle w:val="Luettelokappale"/>
        <w:numPr>
          <w:ilvl w:val="1"/>
          <w:numId w:val="41"/>
        </w:numPr>
      </w:pPr>
      <w:r w:rsidRPr="002C5634">
        <w:t>toiminnan harjoittamispaikan katuosoite tai muu vastaava harjoittamispaikan sijainnin yksilöivä tieto;</w:t>
      </w:r>
    </w:p>
    <w:p w14:paraId="0E6CCE47" w14:textId="77777777" w:rsidR="00A966D8" w:rsidRDefault="002C5634" w:rsidP="000B2864">
      <w:pPr>
        <w:pStyle w:val="Luettelokappale"/>
        <w:numPr>
          <w:ilvl w:val="1"/>
          <w:numId w:val="41"/>
        </w:numPr>
      </w:pPr>
      <w:r w:rsidRPr="002C5634">
        <w:t xml:space="preserve">tekniset tiedot, jotka osoittavat säteilylähteiden käyttö- ja säilytyspaikkojen täyttävän Säteilyturvakeskuksen asettamat  käytönaikaiset turvallisuusvaatimukset; </w:t>
      </w:r>
    </w:p>
    <w:p w14:paraId="6B3AF0FB" w14:textId="040724EB" w:rsidR="002C5634" w:rsidRDefault="002C5634" w:rsidP="000B2864">
      <w:pPr>
        <w:pStyle w:val="Luettelokappale"/>
        <w:numPr>
          <w:ilvl w:val="1"/>
          <w:numId w:val="41"/>
        </w:numPr>
      </w:pPr>
      <w:r w:rsidRPr="002C5634">
        <w:t>toiminnan harjoittamispaikan alueista ja tiloista kuvat tai piirrokset, joihin on merkitty alueiden ja tilojen käyttötarkoitukset, säteilylähteiden sijainnit, valvonta- ja tarkkailualueet, rakenteelliset suojaukset, kulkureitit sekä varojärjestelmien, kiinteiden säteilyvalvontamittareiden ja kulunvalvontapisteiden sijainti.</w:t>
      </w:r>
      <w:r w:rsidR="00A966D8">
        <w:br/>
      </w:r>
    </w:p>
    <w:p w14:paraId="713A3EC8" w14:textId="68CFEBDA" w:rsidR="00A966D8" w:rsidRDefault="002C5634" w:rsidP="000B2864">
      <w:pPr>
        <w:pStyle w:val="Luettelokappale"/>
        <w:numPr>
          <w:ilvl w:val="0"/>
          <w:numId w:val="41"/>
        </w:numPr>
      </w:pPr>
      <w:r w:rsidRPr="002C5634">
        <w:t>Säteilylähteistä ja niihin liittyvistä laitteista ja varusteista on esitettävä tekniset tiedot, jotka osoittavat niiden täyttävän Säteilyturvakeskuksen määräykset käytönaikaisesta säteilyturvallisuudesta. Lisäksi säteilylähteistä on esitettävä:</w:t>
      </w:r>
    </w:p>
    <w:p w14:paraId="0412E276" w14:textId="77777777" w:rsidR="00A966D8" w:rsidRDefault="002C5634" w:rsidP="000B2864">
      <w:pPr>
        <w:pStyle w:val="Luettelokappale"/>
        <w:numPr>
          <w:ilvl w:val="1"/>
          <w:numId w:val="41"/>
        </w:numPr>
      </w:pPr>
      <w:r w:rsidRPr="002C5634">
        <w:t>radioaktiivisesta aineesta ja radioaktiivista ainetta sisältävästä säteilylähteestä: radionuklidi, aktiivisuus ja aktiivisuuden määrityspäivämäärä;</w:t>
      </w:r>
    </w:p>
    <w:p w14:paraId="113ACA19" w14:textId="77777777" w:rsidR="00A966D8" w:rsidRDefault="002C5634" w:rsidP="000B2864">
      <w:pPr>
        <w:pStyle w:val="Luettelokappale"/>
        <w:numPr>
          <w:ilvl w:val="1"/>
          <w:numId w:val="41"/>
        </w:numPr>
      </w:pPr>
      <w:r w:rsidRPr="002C5634">
        <w:t>sähköisesti säteilyä tuottavasta laitteesta: säteilylaji sekä ja säteilytuottoon vaikuttavien  keskeisten parametrien arvot;</w:t>
      </w:r>
    </w:p>
    <w:p w14:paraId="6BA5B3A7" w14:textId="77777777" w:rsidR="00A966D8" w:rsidRDefault="002C5634" w:rsidP="000B2864">
      <w:pPr>
        <w:pStyle w:val="Luettelokappale"/>
        <w:numPr>
          <w:ilvl w:val="1"/>
          <w:numId w:val="41"/>
        </w:numPr>
      </w:pPr>
      <w:r w:rsidRPr="002C5634">
        <w:t xml:space="preserve"> säteilylaitteista ja umpilähteistä: valmistajan antama laitteen tai umpilähteen yksilöivä tunnus ja yksilöintiä koskeva valmistajan asiakirja;</w:t>
      </w:r>
    </w:p>
    <w:p w14:paraId="78B3119C" w14:textId="77777777" w:rsidR="00A966D8" w:rsidRDefault="002C5634" w:rsidP="000B2864">
      <w:pPr>
        <w:pStyle w:val="Luettelokappale"/>
        <w:numPr>
          <w:ilvl w:val="1"/>
          <w:numId w:val="41"/>
        </w:numPr>
      </w:pPr>
      <w:r w:rsidRPr="002C5634">
        <w:t>umpilähteestä:  vaatimustenmukaisuutta osoittava todistus, ja erityismuotoisuutta koskeva todistus, jos umpilähdettä kuljetetaan erityismuotoisia lähteitä koskevien vaatimusten mukaisesti, sekä valmistajan sitoumus ottaa umpilähde vastaan käytön päätyttyä;</w:t>
      </w:r>
    </w:p>
    <w:p w14:paraId="3E5B1D68" w14:textId="08B788C8" w:rsidR="002C5634" w:rsidRPr="002C5634" w:rsidRDefault="002C5634" w:rsidP="000B2864">
      <w:pPr>
        <w:pStyle w:val="Luettelokappale"/>
        <w:numPr>
          <w:ilvl w:val="1"/>
          <w:numId w:val="41"/>
        </w:numPr>
      </w:pPr>
      <w:r w:rsidRPr="002C5634">
        <w:t>korkea-aktiivisesta umpilähteestä: kuva umpilähteen rakenteesta ja kuljetuspakkauksesta, sekä laitteesta ja suojuksesta, jossa umpilähdettä käytetään tai säilytetään.</w:t>
      </w:r>
    </w:p>
    <w:p w14:paraId="4883E6B6" w14:textId="5560E2AF" w:rsidR="002C5634" w:rsidRPr="002C5634" w:rsidRDefault="002C5634" w:rsidP="000B2864">
      <w:pPr>
        <w:pStyle w:val="Luettelokappale"/>
        <w:numPr>
          <w:ilvl w:val="1"/>
          <w:numId w:val="41"/>
        </w:numPr>
      </w:pPr>
      <w:r w:rsidRPr="002C5634">
        <w:t>korkea-aktiivisten umpilähteiden vientiä</w:t>
      </w:r>
      <w:r w:rsidR="008D388A">
        <w:t>,</w:t>
      </w:r>
      <w:r w:rsidRPr="002C5634">
        <w:t xml:space="preserve"> tuontia </w:t>
      </w:r>
      <w:r w:rsidR="008D388A">
        <w:t xml:space="preserve">tai siirtoa </w:t>
      </w:r>
      <w:r w:rsidRPr="002C5634">
        <w:t>koskeva erittely jokaisesta vietävästä</w:t>
      </w:r>
      <w:r w:rsidR="008D388A">
        <w:t>,</w:t>
      </w:r>
      <w:r w:rsidRPr="002C5634">
        <w:t xml:space="preserve"> tuotavasta </w:t>
      </w:r>
      <w:r w:rsidR="008D388A">
        <w:t xml:space="preserve">tai siirrettävästä </w:t>
      </w:r>
      <w:r w:rsidRPr="002C5634">
        <w:t>umpilähde-erästä erikseen.</w:t>
      </w:r>
      <w:r w:rsidR="00A966D8">
        <w:br/>
      </w:r>
    </w:p>
    <w:p w14:paraId="351A2D46" w14:textId="65178BEA" w:rsidR="002C5634" w:rsidRDefault="002C5634" w:rsidP="000B2864">
      <w:pPr>
        <w:pStyle w:val="Luettelokappale"/>
        <w:numPr>
          <w:ilvl w:val="0"/>
          <w:numId w:val="41"/>
        </w:numPr>
      </w:pPr>
      <w:r w:rsidRPr="002C5634">
        <w:t xml:space="preserve">Edellä 2 </w:t>
      </w:r>
      <w:r w:rsidR="00560D7E">
        <w:t>kohdassa</w:t>
      </w:r>
      <w:r w:rsidR="00560D7E" w:rsidRPr="002C5634">
        <w:t xml:space="preserve"> </w:t>
      </w:r>
      <w:r w:rsidRPr="002C5634">
        <w:t>tarkoitettujen tietojen sijaan voidaan esittää tieto Säteilyturvakeskuksen antamasta säteily-/umpilähteen yksilöllisestä valvontakoodista.</w:t>
      </w:r>
      <w:r w:rsidR="00A966D8">
        <w:br/>
      </w:r>
    </w:p>
    <w:p w14:paraId="67BA513F" w14:textId="77777777" w:rsidR="00A966D8" w:rsidRDefault="002C5634" w:rsidP="000B2864">
      <w:pPr>
        <w:pStyle w:val="Luettelokappale"/>
        <w:numPr>
          <w:ilvl w:val="0"/>
          <w:numId w:val="41"/>
        </w:numPr>
      </w:pPr>
      <w:r w:rsidRPr="002C5634">
        <w:t xml:space="preserve">Hakemuksessa on esitettävä toiminnan laadun ja laajuuden mukaisesti turvallisuusjärjestelyistä ja turvajärjestelyistä:  </w:t>
      </w:r>
    </w:p>
    <w:p w14:paraId="0A74D194" w14:textId="77777777" w:rsidR="00A966D8" w:rsidRDefault="002C5634" w:rsidP="00A24A03">
      <w:pPr>
        <w:pStyle w:val="Luettelokappale"/>
        <w:numPr>
          <w:ilvl w:val="1"/>
          <w:numId w:val="41"/>
        </w:numPr>
        <w:ind w:left="1134" w:hanging="708"/>
      </w:pPr>
      <w:r w:rsidRPr="002C5634">
        <w:t>turvallisuusarvio;</w:t>
      </w:r>
    </w:p>
    <w:p w14:paraId="6D9B7D2F" w14:textId="629193AE" w:rsidR="0084382D" w:rsidRDefault="002C5634" w:rsidP="00A24A03">
      <w:pPr>
        <w:pStyle w:val="Luettelokappale"/>
        <w:numPr>
          <w:ilvl w:val="1"/>
          <w:numId w:val="41"/>
        </w:numPr>
        <w:ind w:left="1134" w:hanging="708"/>
      </w:pPr>
      <w:r w:rsidRPr="002C5634">
        <w:t>johtamisjärjestelmästä säteilylain 25 §</w:t>
      </w:r>
      <w:r w:rsidR="00992F9E">
        <w:t>:n</w:t>
      </w:r>
      <w:r w:rsidRPr="002C5634">
        <w:t xml:space="preserve"> 2 momentissa tarkoitetut tiedot; </w:t>
      </w:r>
    </w:p>
    <w:p w14:paraId="3A42D4CE" w14:textId="011E53D6" w:rsidR="00A966D8" w:rsidRDefault="002C5634" w:rsidP="00A24A03">
      <w:pPr>
        <w:pStyle w:val="Luettelokappale"/>
        <w:numPr>
          <w:ilvl w:val="1"/>
          <w:numId w:val="41"/>
        </w:numPr>
        <w:ind w:left="1134" w:hanging="708"/>
      </w:pPr>
      <w:r w:rsidRPr="002C5634">
        <w:t xml:space="preserve">kuvaus säteilyturvallisuuden kannalta keskeisistä toiminnan eri työvaiheista ja niissä noudatettavista menettelyistä; </w:t>
      </w:r>
    </w:p>
    <w:p w14:paraId="3E4ADCC3" w14:textId="77777777" w:rsidR="00A966D8" w:rsidRDefault="002C5634" w:rsidP="00A24A03">
      <w:pPr>
        <w:pStyle w:val="Luettelokappale"/>
        <w:numPr>
          <w:ilvl w:val="1"/>
          <w:numId w:val="41"/>
        </w:numPr>
        <w:ind w:left="1134" w:hanging="708"/>
      </w:pPr>
      <w:r w:rsidRPr="002C5634">
        <w:t>suunnitelma säteilyturvallisuuspoikkeamien varalta;</w:t>
      </w:r>
    </w:p>
    <w:p w14:paraId="316C8D55" w14:textId="079A3EE6" w:rsidR="00A966D8" w:rsidRDefault="002C5634" w:rsidP="00A24A03">
      <w:pPr>
        <w:pStyle w:val="Luettelokappale"/>
        <w:numPr>
          <w:ilvl w:val="1"/>
          <w:numId w:val="41"/>
        </w:numPr>
        <w:ind w:left="1134" w:hanging="708"/>
      </w:pPr>
      <w:r w:rsidRPr="002C5634">
        <w:t>säteilytyöntekijöiden luokat ja lukumäärät työntekijäryhmittäin ja tiedot siitä, miten altistusolosuhteiden ja henkilökohtaisen annoksen tarkkailu sekä luok</w:t>
      </w:r>
      <w:r w:rsidR="00992F9E">
        <w:t>k</w:t>
      </w:r>
      <w:r w:rsidRPr="002C5634">
        <w:t xml:space="preserve">aan A kuuluvien työntekijöiden terveydentilan seuranta on järjestetty; </w:t>
      </w:r>
    </w:p>
    <w:p w14:paraId="7CE87F80" w14:textId="77777777" w:rsidR="00A966D8" w:rsidRDefault="002C5634" w:rsidP="00A24A03">
      <w:pPr>
        <w:pStyle w:val="Luettelokappale"/>
        <w:numPr>
          <w:ilvl w:val="1"/>
          <w:numId w:val="41"/>
        </w:numPr>
        <w:ind w:left="1134" w:hanging="708"/>
      </w:pPr>
      <w:r w:rsidRPr="002C5634">
        <w:t>toiminnassa noudatettavat annosrajoitukset;</w:t>
      </w:r>
    </w:p>
    <w:p w14:paraId="74317A37" w14:textId="77777777" w:rsidR="00A966D8" w:rsidRDefault="002C5634" w:rsidP="00A24A03">
      <w:pPr>
        <w:pStyle w:val="Luettelokappale"/>
        <w:numPr>
          <w:ilvl w:val="1"/>
          <w:numId w:val="41"/>
        </w:numPr>
        <w:ind w:left="1134" w:hanging="708"/>
      </w:pPr>
      <w:r w:rsidRPr="002C5634">
        <w:t>turvajärjestelyjä koskeva suunnitelma;</w:t>
      </w:r>
    </w:p>
    <w:p w14:paraId="1D711FC4" w14:textId="77777777" w:rsidR="00A966D8" w:rsidRDefault="002C5634" w:rsidP="00A24A03">
      <w:pPr>
        <w:pStyle w:val="Luettelokappale"/>
        <w:numPr>
          <w:ilvl w:val="1"/>
          <w:numId w:val="41"/>
        </w:numPr>
        <w:ind w:left="1134" w:hanging="708"/>
      </w:pPr>
      <w:r w:rsidRPr="002C5634">
        <w:lastRenderedPageBreak/>
        <w:t>tiedot toimintaa koskevasta laatujärjestelmästä ja laadunhallinnassa käytettävistä menettelytavoista;</w:t>
      </w:r>
    </w:p>
    <w:p w14:paraId="311BA61D" w14:textId="436BA3D8" w:rsidR="00A966D8" w:rsidRDefault="002C5634" w:rsidP="00A24A03">
      <w:pPr>
        <w:pStyle w:val="Luettelokappale"/>
        <w:numPr>
          <w:ilvl w:val="1"/>
          <w:numId w:val="41"/>
        </w:numPr>
        <w:ind w:left="1134" w:hanging="708"/>
      </w:pPr>
      <w:r w:rsidRPr="002C5634">
        <w:t>toiminnasta syntyvien radioaktiivisten jätteiden ja säteilylain 59 §</w:t>
      </w:r>
      <w:r w:rsidR="00992F9E">
        <w:t>:n</w:t>
      </w:r>
      <w:r w:rsidRPr="002C5634">
        <w:t xml:space="preserve"> 3 momentissa tarkoitettujen jätteiden määrät ja laadut sekä jätteitä koskevat järjestelyt niiden laadun mukaan eriteltyn</w:t>
      </w:r>
      <w:r>
        <w:t>ä;</w:t>
      </w:r>
    </w:p>
    <w:p w14:paraId="12943A23" w14:textId="3ED13DEF" w:rsidR="002C5634" w:rsidRDefault="002C5634" w:rsidP="00A24A03">
      <w:pPr>
        <w:pStyle w:val="Luettelokappale"/>
        <w:numPr>
          <w:ilvl w:val="1"/>
          <w:numId w:val="41"/>
        </w:numPr>
        <w:ind w:left="1134" w:hanging="708"/>
      </w:pPr>
      <w:r>
        <w:t xml:space="preserve"> suunnitelma päästöistä.</w:t>
      </w:r>
      <w:r w:rsidR="00720B20">
        <w:br/>
      </w:r>
    </w:p>
    <w:p w14:paraId="68F34049" w14:textId="31520804" w:rsidR="00720B20" w:rsidRDefault="00720B20" w:rsidP="00A24A03">
      <w:pPr>
        <w:pStyle w:val="Luettelokappale"/>
        <w:numPr>
          <w:ilvl w:val="1"/>
          <w:numId w:val="41"/>
        </w:numPr>
        <w:ind w:left="1134" w:hanging="708"/>
      </w:pPr>
      <w:r>
        <w:t xml:space="preserve">Jos kyseessä on radioaktiivisten jätteiden tuonti, vienti tai siirto, hakemus on tehtävä </w:t>
      </w:r>
      <w:r w:rsidR="005C3872" w:rsidRPr="005C3872">
        <w:t xml:space="preserve">neuvoston direktiivissä 2006/117/Euratom tarkoitetusta vakioasiakirjasta radioaktiivisen jätteen ja käytetyn ydinpolttoaineen siirtojen valvontaa ja tarkkailua varten </w:t>
      </w:r>
      <w:r w:rsidR="005C3872">
        <w:t xml:space="preserve">annetussa </w:t>
      </w:r>
      <w:r>
        <w:t>komission päätöksessä 2008/312/Euratom tarkoitetulla vakioasiakirjalla</w:t>
      </w:r>
      <w:r w:rsidR="007360C0">
        <w:t xml:space="preserve"> </w:t>
      </w:r>
      <w:r w:rsidR="005C3872">
        <w:t xml:space="preserve">noudattaen </w:t>
      </w:r>
      <w:r w:rsidR="005C3872" w:rsidRPr="005C3872">
        <w:t xml:space="preserve">radioaktiivisen jätteen ja käytetyn ydinpolttoaineen siirtojen valvonnasta ja tarkkailusta </w:t>
      </w:r>
      <w:r w:rsidR="005C3872">
        <w:t xml:space="preserve">annetun neuvoston </w:t>
      </w:r>
      <w:r w:rsidR="007360C0">
        <w:t>direktiivin 2006/117/Euratom 6, 7, 10, 13</w:t>
      </w:r>
      <w:r w:rsidR="005C3872">
        <w:t>–</w:t>
      </w:r>
      <w:r w:rsidR="007360C0">
        <w:t xml:space="preserve"> 15 </w:t>
      </w:r>
      <w:r w:rsidR="005C3872">
        <w:t>artiklassa säädettyjä vaatimuksia.</w:t>
      </w:r>
    </w:p>
    <w:p w14:paraId="40159A00" w14:textId="77777777" w:rsidR="00624C57" w:rsidRDefault="002C5634">
      <w:pPr>
        <w:sectPr w:rsidR="00624C57" w:rsidSect="00EC5B69">
          <w:pgSz w:w="11906" w:h="16838" w:code="9"/>
          <w:pgMar w:top="1134" w:right="567" w:bottom="1701" w:left="1134" w:header="709" w:footer="454" w:gutter="0"/>
          <w:cols w:space="708"/>
          <w:docGrid w:linePitch="360"/>
        </w:sectPr>
      </w:pPr>
      <w:r>
        <w:br w:type="page"/>
      </w:r>
    </w:p>
    <w:p w14:paraId="748A9898" w14:textId="6B67ECFA" w:rsidR="002C5634" w:rsidRDefault="002C5634" w:rsidP="002C5634">
      <w:pPr>
        <w:pStyle w:val="Otsikko1"/>
      </w:pPr>
      <w:r>
        <w:lastRenderedPageBreak/>
        <w:t>L</w:t>
      </w:r>
      <w:r w:rsidR="00BB62D5">
        <w:t>IITE</w:t>
      </w:r>
      <w:r>
        <w:t xml:space="preserve"> </w:t>
      </w:r>
      <w:r w:rsidR="001B2972">
        <w:t>5</w:t>
      </w:r>
    </w:p>
    <w:p w14:paraId="4D826A67" w14:textId="24090E1A" w:rsidR="002C5634" w:rsidRPr="00BB62D5" w:rsidRDefault="00BB62D5" w:rsidP="002C5634">
      <w:pPr>
        <w:rPr>
          <w:b/>
        </w:rPr>
      </w:pPr>
      <w:r w:rsidRPr="00BB62D5">
        <w:rPr>
          <w:b/>
        </w:rPr>
        <w:t>SÄTEILYTOIMINTOJA KOSKEVAT LUOKITUKSET</w:t>
      </w:r>
    </w:p>
    <w:p w14:paraId="385F38ED" w14:textId="77777777" w:rsidR="00865F79" w:rsidRPr="00865F79" w:rsidRDefault="00865F79" w:rsidP="00865F79"/>
    <w:p w14:paraId="6CADEF20" w14:textId="77777777" w:rsidR="00506342" w:rsidRPr="00BB62D5" w:rsidRDefault="00506342" w:rsidP="00BB62D5">
      <w:pPr>
        <w:rPr>
          <w:b/>
        </w:rPr>
      </w:pPr>
      <w:r w:rsidRPr="00BB62D5">
        <w:rPr>
          <w:b/>
        </w:rPr>
        <w:t>Taulukko 1. Säteilyaltistuksen luokat</w:t>
      </w:r>
    </w:p>
    <w:tbl>
      <w:tblPr>
        <w:tblStyle w:val="TaulukkoRuudukko"/>
        <w:tblW w:w="0" w:type="auto"/>
        <w:tblInd w:w="108" w:type="dxa"/>
        <w:tblLook w:val="04A0" w:firstRow="1" w:lastRow="0" w:firstColumn="1" w:lastColumn="0" w:noHBand="0" w:noVBand="1"/>
      </w:tblPr>
      <w:tblGrid>
        <w:gridCol w:w="1733"/>
        <w:gridCol w:w="2555"/>
        <w:gridCol w:w="2555"/>
        <w:gridCol w:w="2632"/>
        <w:gridCol w:w="4636"/>
      </w:tblGrid>
      <w:tr w:rsidR="00506342" w:rsidRPr="00772732" w14:paraId="33FE6CCD" w14:textId="77777777" w:rsidTr="008572AD">
        <w:tc>
          <w:tcPr>
            <w:tcW w:w="0" w:type="auto"/>
            <w:vMerge w:val="restart"/>
          </w:tcPr>
          <w:p w14:paraId="67BB959C" w14:textId="77777777" w:rsidR="00506342" w:rsidRPr="00772732" w:rsidRDefault="00506342" w:rsidP="00E36ADA">
            <w:pPr>
              <w:rPr>
                <w:b/>
                <w:sz w:val="16"/>
                <w:szCs w:val="16"/>
              </w:rPr>
            </w:pPr>
            <w:r>
              <w:rPr>
                <w:b/>
                <w:sz w:val="16"/>
                <w:szCs w:val="16"/>
              </w:rPr>
              <w:t>Altistus</w:t>
            </w:r>
          </w:p>
        </w:tc>
        <w:tc>
          <w:tcPr>
            <w:tcW w:w="0" w:type="auto"/>
            <w:gridSpan w:val="3"/>
            <w:tcBorders>
              <w:right w:val="single" w:sz="4" w:space="0" w:color="auto"/>
            </w:tcBorders>
          </w:tcPr>
          <w:p w14:paraId="22676C99" w14:textId="77777777" w:rsidR="00506342" w:rsidRPr="00772732" w:rsidRDefault="00506342" w:rsidP="00E36ADA">
            <w:pPr>
              <w:jc w:val="center"/>
              <w:rPr>
                <w:b/>
                <w:sz w:val="16"/>
                <w:szCs w:val="16"/>
              </w:rPr>
            </w:pPr>
            <w:r>
              <w:rPr>
                <w:b/>
                <w:sz w:val="16"/>
                <w:szCs w:val="16"/>
              </w:rPr>
              <w:t>Luokka</w:t>
            </w:r>
          </w:p>
        </w:tc>
        <w:tc>
          <w:tcPr>
            <w:tcW w:w="0" w:type="auto"/>
            <w:vMerge w:val="restart"/>
            <w:tcBorders>
              <w:left w:val="single" w:sz="4" w:space="0" w:color="auto"/>
            </w:tcBorders>
          </w:tcPr>
          <w:p w14:paraId="74BDE4C6" w14:textId="77777777" w:rsidR="00506342" w:rsidRPr="00772732" w:rsidRDefault="00506342" w:rsidP="00E36ADA">
            <w:pPr>
              <w:jc w:val="center"/>
              <w:rPr>
                <w:sz w:val="16"/>
                <w:szCs w:val="16"/>
              </w:rPr>
            </w:pPr>
            <w:r w:rsidRPr="0084451F">
              <w:rPr>
                <w:b/>
                <w:sz w:val="16"/>
                <w:szCs w:val="16"/>
              </w:rPr>
              <w:t>Huomioitavaa</w:t>
            </w:r>
          </w:p>
        </w:tc>
      </w:tr>
      <w:tr w:rsidR="00506342" w:rsidRPr="00772732" w14:paraId="6EEFC69F" w14:textId="77777777" w:rsidTr="008572AD">
        <w:tc>
          <w:tcPr>
            <w:tcW w:w="0" w:type="auto"/>
            <w:vMerge/>
          </w:tcPr>
          <w:p w14:paraId="42A0CB77" w14:textId="77777777" w:rsidR="00506342" w:rsidRPr="00772732" w:rsidRDefault="00506342" w:rsidP="00E36ADA">
            <w:pPr>
              <w:rPr>
                <w:b/>
                <w:sz w:val="16"/>
                <w:szCs w:val="16"/>
              </w:rPr>
            </w:pPr>
          </w:p>
        </w:tc>
        <w:tc>
          <w:tcPr>
            <w:tcW w:w="0" w:type="auto"/>
          </w:tcPr>
          <w:p w14:paraId="2DAA69A6" w14:textId="77777777" w:rsidR="00506342" w:rsidRPr="00772732" w:rsidRDefault="00506342" w:rsidP="00E36ADA">
            <w:pPr>
              <w:jc w:val="center"/>
              <w:rPr>
                <w:b/>
                <w:sz w:val="16"/>
                <w:szCs w:val="16"/>
              </w:rPr>
            </w:pPr>
            <w:r>
              <w:rPr>
                <w:b/>
                <w:sz w:val="16"/>
                <w:szCs w:val="16"/>
              </w:rPr>
              <w:t>3</w:t>
            </w:r>
          </w:p>
        </w:tc>
        <w:tc>
          <w:tcPr>
            <w:tcW w:w="0" w:type="auto"/>
          </w:tcPr>
          <w:p w14:paraId="7DA3E1D6" w14:textId="77777777" w:rsidR="00506342" w:rsidRPr="00772732" w:rsidRDefault="00506342" w:rsidP="00E36ADA">
            <w:pPr>
              <w:jc w:val="center"/>
              <w:rPr>
                <w:b/>
                <w:sz w:val="16"/>
                <w:szCs w:val="16"/>
              </w:rPr>
            </w:pPr>
            <w:r>
              <w:rPr>
                <w:b/>
                <w:sz w:val="16"/>
                <w:szCs w:val="16"/>
              </w:rPr>
              <w:t>2</w:t>
            </w:r>
          </w:p>
        </w:tc>
        <w:tc>
          <w:tcPr>
            <w:tcW w:w="0" w:type="auto"/>
            <w:tcBorders>
              <w:right w:val="single" w:sz="4" w:space="0" w:color="auto"/>
            </w:tcBorders>
          </w:tcPr>
          <w:p w14:paraId="131BDB76" w14:textId="77777777" w:rsidR="00506342" w:rsidRPr="00772732" w:rsidRDefault="00506342" w:rsidP="00E36ADA">
            <w:pPr>
              <w:jc w:val="center"/>
              <w:rPr>
                <w:b/>
                <w:sz w:val="16"/>
                <w:szCs w:val="16"/>
              </w:rPr>
            </w:pPr>
            <w:r>
              <w:rPr>
                <w:b/>
                <w:sz w:val="16"/>
                <w:szCs w:val="16"/>
              </w:rPr>
              <w:t>1</w:t>
            </w:r>
          </w:p>
        </w:tc>
        <w:tc>
          <w:tcPr>
            <w:tcW w:w="0" w:type="auto"/>
            <w:vMerge/>
            <w:tcBorders>
              <w:left w:val="single" w:sz="4" w:space="0" w:color="auto"/>
            </w:tcBorders>
          </w:tcPr>
          <w:p w14:paraId="2EBEF5FD" w14:textId="77777777" w:rsidR="00506342" w:rsidRPr="0084451F" w:rsidRDefault="00506342" w:rsidP="00E36ADA">
            <w:pPr>
              <w:jc w:val="center"/>
              <w:rPr>
                <w:b/>
                <w:sz w:val="16"/>
                <w:szCs w:val="16"/>
              </w:rPr>
            </w:pPr>
          </w:p>
        </w:tc>
      </w:tr>
      <w:tr w:rsidR="00506342" w:rsidRPr="00772732" w14:paraId="34E18E83" w14:textId="77777777" w:rsidTr="008572AD">
        <w:trPr>
          <w:trHeight w:val="351"/>
        </w:trPr>
        <w:tc>
          <w:tcPr>
            <w:tcW w:w="0" w:type="auto"/>
          </w:tcPr>
          <w:p w14:paraId="7FA3A82F" w14:textId="77777777" w:rsidR="00506342" w:rsidRPr="00EC5087" w:rsidRDefault="00506342" w:rsidP="00E36ADA">
            <w:pPr>
              <w:rPr>
                <w:b/>
                <w:sz w:val="16"/>
                <w:szCs w:val="16"/>
              </w:rPr>
            </w:pPr>
            <w:r w:rsidRPr="00EC5087">
              <w:rPr>
                <w:b/>
                <w:sz w:val="16"/>
                <w:szCs w:val="16"/>
              </w:rPr>
              <w:t>Työperäinen altistus</w:t>
            </w:r>
          </w:p>
        </w:tc>
        <w:tc>
          <w:tcPr>
            <w:tcW w:w="0" w:type="auto"/>
          </w:tcPr>
          <w:p w14:paraId="44781EF7" w14:textId="77777777" w:rsidR="00506342" w:rsidRPr="004C3673" w:rsidRDefault="00506342" w:rsidP="00E36ADA">
            <w:pPr>
              <w:rPr>
                <w:sz w:val="16"/>
                <w:szCs w:val="16"/>
                <w:vertAlign w:val="superscript"/>
              </w:rPr>
            </w:pPr>
            <w:r>
              <w:rPr>
                <w:sz w:val="16"/>
                <w:szCs w:val="16"/>
              </w:rPr>
              <w:t xml:space="preserve">Efektiivinen annos ≤ 1 mSv </w:t>
            </w:r>
            <w:r>
              <w:rPr>
                <w:sz w:val="16"/>
                <w:szCs w:val="16"/>
                <w:vertAlign w:val="superscript"/>
              </w:rPr>
              <w:t>1</w:t>
            </w:r>
          </w:p>
        </w:tc>
        <w:tc>
          <w:tcPr>
            <w:tcW w:w="0" w:type="auto"/>
          </w:tcPr>
          <w:p w14:paraId="4F48C85D" w14:textId="77777777" w:rsidR="00506342" w:rsidRDefault="00506342" w:rsidP="00E36ADA">
            <w:pPr>
              <w:rPr>
                <w:sz w:val="16"/>
                <w:szCs w:val="16"/>
              </w:rPr>
            </w:pPr>
            <w:r>
              <w:rPr>
                <w:sz w:val="16"/>
                <w:szCs w:val="16"/>
              </w:rPr>
              <w:t>Efektiivinen annos ≤ 6 mSv</w:t>
            </w:r>
          </w:p>
          <w:p w14:paraId="363B816F" w14:textId="77777777" w:rsidR="00506342" w:rsidRPr="00772732" w:rsidRDefault="00506342" w:rsidP="00E36ADA">
            <w:pPr>
              <w:rPr>
                <w:sz w:val="16"/>
                <w:szCs w:val="16"/>
              </w:rPr>
            </w:pPr>
            <w:r>
              <w:rPr>
                <w:sz w:val="16"/>
                <w:szCs w:val="16"/>
              </w:rPr>
              <w:t xml:space="preserve"> </w:t>
            </w:r>
          </w:p>
        </w:tc>
        <w:tc>
          <w:tcPr>
            <w:tcW w:w="0" w:type="auto"/>
          </w:tcPr>
          <w:p w14:paraId="23E15D83" w14:textId="77777777" w:rsidR="00506342" w:rsidRPr="00772732" w:rsidRDefault="00506342" w:rsidP="00E36ADA">
            <w:pPr>
              <w:rPr>
                <w:sz w:val="16"/>
                <w:szCs w:val="16"/>
              </w:rPr>
            </w:pPr>
            <w:r>
              <w:rPr>
                <w:sz w:val="16"/>
                <w:szCs w:val="16"/>
              </w:rPr>
              <w:t xml:space="preserve">Efektiivinen annos &gt; 6 mSv </w:t>
            </w:r>
          </w:p>
        </w:tc>
        <w:tc>
          <w:tcPr>
            <w:tcW w:w="0" w:type="auto"/>
          </w:tcPr>
          <w:p w14:paraId="17CD2A6E" w14:textId="77777777" w:rsidR="00506342" w:rsidRPr="00772732" w:rsidRDefault="00506342" w:rsidP="00E36ADA">
            <w:pPr>
              <w:rPr>
                <w:sz w:val="16"/>
                <w:szCs w:val="16"/>
              </w:rPr>
            </w:pPr>
            <w:r>
              <w:rPr>
                <w:sz w:val="16"/>
                <w:szCs w:val="16"/>
              </w:rPr>
              <w:t xml:space="preserve">Efektiivinen annos on työntekijälle aiheutuva vuosiannos.  </w:t>
            </w:r>
          </w:p>
        </w:tc>
      </w:tr>
      <w:tr w:rsidR="00506342" w:rsidRPr="00772732" w14:paraId="5445E56B" w14:textId="77777777" w:rsidTr="008572AD">
        <w:trPr>
          <w:trHeight w:val="360"/>
        </w:trPr>
        <w:tc>
          <w:tcPr>
            <w:tcW w:w="0" w:type="auto"/>
          </w:tcPr>
          <w:p w14:paraId="4C24F52E" w14:textId="77777777" w:rsidR="00506342" w:rsidRPr="00EC5087" w:rsidRDefault="00506342" w:rsidP="00E36ADA">
            <w:pPr>
              <w:rPr>
                <w:b/>
                <w:sz w:val="16"/>
                <w:szCs w:val="16"/>
              </w:rPr>
            </w:pPr>
            <w:r w:rsidRPr="00EC5087">
              <w:rPr>
                <w:b/>
                <w:sz w:val="16"/>
                <w:szCs w:val="16"/>
              </w:rPr>
              <w:t>Väestön altistus</w:t>
            </w:r>
          </w:p>
        </w:tc>
        <w:tc>
          <w:tcPr>
            <w:tcW w:w="0" w:type="auto"/>
          </w:tcPr>
          <w:p w14:paraId="40DECB64" w14:textId="77777777" w:rsidR="00506342" w:rsidRPr="004C3673" w:rsidRDefault="00506342" w:rsidP="00E36ADA">
            <w:pPr>
              <w:rPr>
                <w:sz w:val="16"/>
                <w:szCs w:val="16"/>
              </w:rPr>
            </w:pPr>
            <w:r>
              <w:rPr>
                <w:sz w:val="16"/>
                <w:szCs w:val="16"/>
              </w:rPr>
              <w:t xml:space="preserve">Efektiivinen annos ≤ 0,1 x Väestön annosraja </w:t>
            </w:r>
            <w:r>
              <w:rPr>
                <w:sz w:val="16"/>
                <w:szCs w:val="16"/>
                <w:vertAlign w:val="superscript"/>
              </w:rPr>
              <w:t>2</w:t>
            </w:r>
          </w:p>
        </w:tc>
        <w:tc>
          <w:tcPr>
            <w:tcW w:w="0" w:type="auto"/>
          </w:tcPr>
          <w:p w14:paraId="3E2D8176" w14:textId="77777777" w:rsidR="00506342" w:rsidRPr="00772732" w:rsidRDefault="00506342" w:rsidP="00E36ADA">
            <w:pPr>
              <w:rPr>
                <w:sz w:val="16"/>
                <w:szCs w:val="16"/>
              </w:rPr>
            </w:pPr>
            <w:r>
              <w:rPr>
                <w:sz w:val="16"/>
                <w:szCs w:val="16"/>
              </w:rPr>
              <w:t>Efektiivinen annos ≤ 0,3</w:t>
            </w:r>
            <w:r w:rsidRPr="00772732">
              <w:rPr>
                <w:sz w:val="16"/>
                <w:szCs w:val="16"/>
              </w:rPr>
              <w:t xml:space="preserve"> </w:t>
            </w:r>
            <w:r>
              <w:rPr>
                <w:sz w:val="16"/>
                <w:szCs w:val="16"/>
              </w:rPr>
              <w:t>x Väestön annosraja</w:t>
            </w:r>
          </w:p>
        </w:tc>
        <w:tc>
          <w:tcPr>
            <w:tcW w:w="0" w:type="auto"/>
          </w:tcPr>
          <w:p w14:paraId="72CC664E" w14:textId="77777777" w:rsidR="00506342" w:rsidRPr="00772732" w:rsidRDefault="00506342" w:rsidP="00E36ADA">
            <w:pPr>
              <w:rPr>
                <w:sz w:val="16"/>
                <w:szCs w:val="16"/>
              </w:rPr>
            </w:pPr>
            <w:r>
              <w:rPr>
                <w:sz w:val="16"/>
                <w:szCs w:val="16"/>
              </w:rPr>
              <w:t xml:space="preserve">Efektiivinen annos &gt; 0,3 x Väestön annosraja. </w:t>
            </w:r>
          </w:p>
        </w:tc>
        <w:tc>
          <w:tcPr>
            <w:tcW w:w="0" w:type="auto"/>
          </w:tcPr>
          <w:p w14:paraId="267DA165" w14:textId="77777777" w:rsidR="00506342" w:rsidRDefault="00506342" w:rsidP="00E36ADA">
            <w:pPr>
              <w:rPr>
                <w:sz w:val="16"/>
                <w:szCs w:val="16"/>
              </w:rPr>
            </w:pPr>
            <w:r>
              <w:rPr>
                <w:sz w:val="16"/>
                <w:szCs w:val="16"/>
              </w:rPr>
              <w:t xml:space="preserve">Efektiivinen annos on edustavalle henkilölle aiheutuva vuosiannos. </w:t>
            </w:r>
          </w:p>
          <w:p w14:paraId="3CA5581D" w14:textId="77777777" w:rsidR="00506342" w:rsidRDefault="00506342" w:rsidP="00E36ADA">
            <w:pPr>
              <w:rPr>
                <w:sz w:val="16"/>
                <w:szCs w:val="16"/>
              </w:rPr>
            </w:pPr>
          </w:p>
          <w:p w14:paraId="2E3221C2" w14:textId="77777777" w:rsidR="00506342" w:rsidRPr="00772732" w:rsidRDefault="00506342" w:rsidP="00E36ADA">
            <w:pPr>
              <w:rPr>
                <w:sz w:val="16"/>
                <w:szCs w:val="16"/>
              </w:rPr>
            </w:pPr>
            <w:r>
              <w:rPr>
                <w:sz w:val="16"/>
                <w:szCs w:val="16"/>
              </w:rPr>
              <w:t>Luokittelussa väärän potilaan kuvaus säteilyturvallisuuspoikkeamana rinnastetaan  lääketieteelliseen altistukseen.</w:t>
            </w:r>
          </w:p>
        </w:tc>
      </w:tr>
      <w:tr w:rsidR="00506342" w:rsidRPr="00772732" w14:paraId="5B9D1865" w14:textId="77777777" w:rsidTr="008572AD">
        <w:tc>
          <w:tcPr>
            <w:tcW w:w="0" w:type="auto"/>
          </w:tcPr>
          <w:p w14:paraId="187F20D3" w14:textId="77777777" w:rsidR="00506342" w:rsidRPr="00EC5087" w:rsidRDefault="00506342" w:rsidP="00E36ADA">
            <w:pPr>
              <w:rPr>
                <w:b/>
                <w:sz w:val="16"/>
                <w:szCs w:val="16"/>
              </w:rPr>
            </w:pPr>
            <w:r w:rsidRPr="00EC5087">
              <w:rPr>
                <w:b/>
                <w:sz w:val="16"/>
                <w:szCs w:val="16"/>
              </w:rPr>
              <w:t>Lääketieteellinen altistus</w:t>
            </w:r>
          </w:p>
        </w:tc>
        <w:tc>
          <w:tcPr>
            <w:tcW w:w="0" w:type="auto"/>
          </w:tcPr>
          <w:p w14:paraId="601B0828" w14:textId="77777777" w:rsidR="00506342" w:rsidRDefault="00506342" w:rsidP="00E36ADA">
            <w:pPr>
              <w:rPr>
                <w:rFonts w:cs="Calibri"/>
                <w:sz w:val="16"/>
                <w:szCs w:val="16"/>
              </w:rPr>
            </w:pPr>
            <w:r>
              <w:rPr>
                <w:rFonts w:cs="Calibri"/>
                <w:sz w:val="16"/>
                <w:szCs w:val="16"/>
              </w:rPr>
              <w:t xml:space="preserve">Efektiivinen annos ≤ 0,1 mSv, </w:t>
            </w:r>
            <w:r>
              <w:rPr>
                <w:rFonts w:cs="Calibri"/>
                <w:sz w:val="16"/>
                <w:szCs w:val="16"/>
              </w:rPr>
              <w:br/>
              <w:t>ja</w:t>
            </w:r>
          </w:p>
          <w:p w14:paraId="0814C7A4" w14:textId="77777777" w:rsidR="00506342" w:rsidRPr="004154E2" w:rsidRDefault="00506342" w:rsidP="00E36ADA">
            <w:pPr>
              <w:rPr>
                <w:sz w:val="16"/>
                <w:szCs w:val="16"/>
                <w:highlight w:val="yellow"/>
              </w:rPr>
            </w:pPr>
            <w:r>
              <w:rPr>
                <w:rFonts w:cs="Calibri"/>
                <w:sz w:val="16"/>
                <w:szCs w:val="16"/>
              </w:rPr>
              <w:t>toiminnasta ei aiheudu potilaalle determinististä säteilyhaittaa.</w:t>
            </w:r>
          </w:p>
        </w:tc>
        <w:tc>
          <w:tcPr>
            <w:tcW w:w="0" w:type="auto"/>
          </w:tcPr>
          <w:p w14:paraId="203BA1A4" w14:textId="77777777" w:rsidR="00506342" w:rsidRDefault="00506342" w:rsidP="00E36ADA">
            <w:pPr>
              <w:rPr>
                <w:rFonts w:cs="Calibri"/>
                <w:sz w:val="16"/>
                <w:szCs w:val="16"/>
              </w:rPr>
            </w:pPr>
            <w:r>
              <w:rPr>
                <w:rFonts w:cs="Calibri"/>
                <w:sz w:val="16"/>
                <w:szCs w:val="16"/>
              </w:rPr>
              <w:t>Efektiivinen annos ≤ 100 mSv,</w:t>
            </w:r>
          </w:p>
          <w:p w14:paraId="2AB4D9DC" w14:textId="77777777" w:rsidR="00506342" w:rsidRPr="004154E2" w:rsidRDefault="00506342" w:rsidP="00E36ADA">
            <w:pPr>
              <w:rPr>
                <w:sz w:val="16"/>
                <w:szCs w:val="16"/>
                <w:highlight w:val="yellow"/>
              </w:rPr>
            </w:pPr>
            <w:r>
              <w:rPr>
                <w:rFonts w:cs="Calibri"/>
                <w:sz w:val="16"/>
                <w:szCs w:val="16"/>
              </w:rPr>
              <w:t>ja</w:t>
            </w:r>
            <w:r>
              <w:rPr>
                <w:rFonts w:cs="Calibri"/>
                <w:sz w:val="16"/>
                <w:szCs w:val="16"/>
              </w:rPr>
              <w:br/>
              <w:t>toiminnasta ei aiheudu potilaalle determinististä säteilyhaittaa.</w:t>
            </w:r>
          </w:p>
        </w:tc>
        <w:tc>
          <w:tcPr>
            <w:tcW w:w="0" w:type="auto"/>
          </w:tcPr>
          <w:p w14:paraId="7716991F" w14:textId="77777777" w:rsidR="00506342" w:rsidRDefault="00506342" w:rsidP="00E36ADA">
            <w:pPr>
              <w:rPr>
                <w:rFonts w:cs="Calibri"/>
                <w:sz w:val="16"/>
                <w:szCs w:val="16"/>
              </w:rPr>
            </w:pPr>
            <w:r>
              <w:rPr>
                <w:rFonts w:cs="Calibri"/>
                <w:sz w:val="16"/>
                <w:szCs w:val="16"/>
              </w:rPr>
              <w:t>Efektiivinen annos &gt; 100 mSv,</w:t>
            </w:r>
          </w:p>
          <w:p w14:paraId="38FD300D" w14:textId="77777777" w:rsidR="00506342" w:rsidRDefault="00506342" w:rsidP="00E36ADA">
            <w:pPr>
              <w:rPr>
                <w:rFonts w:cs="Calibri"/>
                <w:sz w:val="16"/>
                <w:szCs w:val="16"/>
              </w:rPr>
            </w:pPr>
            <w:r>
              <w:rPr>
                <w:rFonts w:cs="Calibri"/>
                <w:sz w:val="16"/>
                <w:szCs w:val="16"/>
              </w:rPr>
              <w:t xml:space="preserve">tai </w:t>
            </w:r>
          </w:p>
          <w:p w14:paraId="64292AE0" w14:textId="77777777" w:rsidR="00506342" w:rsidRDefault="00506342" w:rsidP="00E36ADA">
            <w:pPr>
              <w:rPr>
                <w:rFonts w:cs="Calibri"/>
                <w:sz w:val="16"/>
                <w:szCs w:val="16"/>
              </w:rPr>
            </w:pPr>
            <w:r>
              <w:rPr>
                <w:rFonts w:cs="Calibri"/>
                <w:sz w:val="16"/>
                <w:szCs w:val="16"/>
              </w:rPr>
              <w:t>paikallinen tai elimen absorboitunut annos &gt; 10 Gy,</w:t>
            </w:r>
          </w:p>
          <w:p w14:paraId="1A5ED082" w14:textId="77777777" w:rsidR="00506342" w:rsidRDefault="00506342" w:rsidP="00E36ADA">
            <w:pPr>
              <w:rPr>
                <w:rFonts w:cs="Calibri"/>
                <w:sz w:val="16"/>
                <w:szCs w:val="16"/>
              </w:rPr>
            </w:pPr>
            <w:r>
              <w:rPr>
                <w:rFonts w:cs="Calibri"/>
                <w:sz w:val="16"/>
                <w:szCs w:val="16"/>
              </w:rPr>
              <w:t>tai</w:t>
            </w:r>
          </w:p>
          <w:p w14:paraId="4271CBBD" w14:textId="77777777" w:rsidR="00506342" w:rsidRPr="007D4F28" w:rsidRDefault="00506342" w:rsidP="00E36ADA">
            <w:pPr>
              <w:rPr>
                <w:rFonts w:cs="Calibri"/>
                <w:sz w:val="16"/>
                <w:szCs w:val="16"/>
              </w:rPr>
            </w:pPr>
            <w:r>
              <w:rPr>
                <w:rFonts w:cs="Calibri"/>
                <w:sz w:val="16"/>
                <w:szCs w:val="16"/>
              </w:rPr>
              <w:t>toiminnasta voi aiheutua potilaalle deterministinen säteilyhaitta.</w:t>
            </w:r>
          </w:p>
        </w:tc>
        <w:tc>
          <w:tcPr>
            <w:tcW w:w="0" w:type="auto"/>
          </w:tcPr>
          <w:p w14:paraId="22A1FA90" w14:textId="77777777" w:rsidR="00506342" w:rsidRDefault="00506342" w:rsidP="00E36ADA">
            <w:pPr>
              <w:rPr>
                <w:sz w:val="16"/>
                <w:szCs w:val="16"/>
              </w:rPr>
            </w:pPr>
            <w:r>
              <w:rPr>
                <w:sz w:val="16"/>
                <w:szCs w:val="16"/>
              </w:rPr>
              <w:t>Koskee annosta potilaalle yhdestä tutkimuksesta tai toimenpiteestä.</w:t>
            </w:r>
          </w:p>
          <w:p w14:paraId="3B16252E" w14:textId="77777777" w:rsidR="00506342" w:rsidRPr="00703EA9" w:rsidRDefault="00506342" w:rsidP="00E36ADA">
            <w:pPr>
              <w:rPr>
                <w:sz w:val="16"/>
                <w:szCs w:val="16"/>
              </w:rPr>
            </w:pPr>
          </w:p>
        </w:tc>
      </w:tr>
    </w:tbl>
    <w:p w14:paraId="34BDCDDB" w14:textId="77777777" w:rsidR="00506342" w:rsidRPr="00EC5087" w:rsidRDefault="00506342" w:rsidP="00506342">
      <w:pPr>
        <w:rPr>
          <w:b/>
        </w:rPr>
      </w:pPr>
    </w:p>
    <w:p w14:paraId="708F2B5D" w14:textId="77777777" w:rsidR="00506342" w:rsidRDefault="00506342" w:rsidP="00506342">
      <w:pPr>
        <w:rPr>
          <w:sz w:val="16"/>
          <w:szCs w:val="16"/>
        </w:rPr>
      </w:pPr>
      <w:r w:rsidRPr="004C3673">
        <w:rPr>
          <w:b/>
          <w:sz w:val="16"/>
          <w:szCs w:val="16"/>
          <w:vertAlign w:val="superscript"/>
        </w:rPr>
        <w:t>1</w:t>
      </w:r>
      <w:r>
        <w:rPr>
          <w:sz w:val="16"/>
          <w:szCs w:val="16"/>
        </w:rPr>
        <w:t xml:space="preserve">Luokka on 3 kun toiminnasta aiheutuu työperäistä altistusta on mutta se on niin pieni, että työntekijöitä ei luokitella säteilytyöntekijöiksi. Luokka on E jos toiminnasta ei aiheudu työperäistä altistusta. </w:t>
      </w:r>
    </w:p>
    <w:p w14:paraId="3F7F82B3" w14:textId="77777777" w:rsidR="00506342" w:rsidRPr="004C3673" w:rsidRDefault="00506342" w:rsidP="00506342">
      <w:pPr>
        <w:rPr>
          <w:b/>
          <w:sz w:val="16"/>
          <w:szCs w:val="16"/>
        </w:rPr>
      </w:pPr>
      <w:r>
        <w:rPr>
          <w:b/>
          <w:sz w:val="16"/>
          <w:szCs w:val="16"/>
          <w:vertAlign w:val="superscript"/>
        </w:rPr>
        <w:t>2</w:t>
      </w:r>
      <w:r>
        <w:rPr>
          <w:sz w:val="16"/>
          <w:szCs w:val="16"/>
        </w:rPr>
        <w:t xml:space="preserve">Luokka on 3 kun toiminnasta aiheutuu väestöaltistusta. Luokka on E jos toiminnasta ei aiheudu väestöaltistusta. </w:t>
      </w:r>
      <w:r w:rsidRPr="004C3673">
        <w:rPr>
          <w:b/>
          <w:sz w:val="16"/>
          <w:szCs w:val="16"/>
        </w:rPr>
        <w:br w:type="page"/>
      </w:r>
    </w:p>
    <w:p w14:paraId="19C5E6DE" w14:textId="77777777" w:rsidR="00506342" w:rsidRDefault="00506342" w:rsidP="00506342">
      <w:pPr>
        <w:rPr>
          <w:b/>
        </w:rPr>
      </w:pPr>
    </w:p>
    <w:p w14:paraId="5836A452" w14:textId="77777777" w:rsidR="00506342" w:rsidRPr="00EC5087" w:rsidRDefault="00506342" w:rsidP="00506342">
      <w:pPr>
        <w:rPr>
          <w:b/>
        </w:rPr>
      </w:pPr>
      <w:r>
        <w:rPr>
          <w:b/>
        </w:rPr>
        <w:t xml:space="preserve">Taulukko 2.  Säteilylähteiden </w:t>
      </w:r>
      <w:r w:rsidRPr="00EC5087">
        <w:rPr>
          <w:b/>
        </w:rPr>
        <w:t>luokat</w:t>
      </w:r>
    </w:p>
    <w:tbl>
      <w:tblPr>
        <w:tblStyle w:val="TaulukkoRuudukko"/>
        <w:tblW w:w="0" w:type="auto"/>
        <w:tblInd w:w="108" w:type="dxa"/>
        <w:tblLook w:val="04A0" w:firstRow="1" w:lastRow="0" w:firstColumn="1" w:lastColumn="0" w:noHBand="0" w:noVBand="1"/>
      </w:tblPr>
      <w:tblGrid>
        <w:gridCol w:w="2094"/>
        <w:gridCol w:w="2730"/>
        <w:gridCol w:w="3013"/>
        <w:gridCol w:w="2996"/>
        <w:gridCol w:w="3278"/>
      </w:tblGrid>
      <w:tr w:rsidR="00506342" w:rsidRPr="00772732" w14:paraId="5510F3ED" w14:textId="77777777" w:rsidTr="008572AD">
        <w:tc>
          <w:tcPr>
            <w:tcW w:w="0" w:type="auto"/>
            <w:vMerge w:val="restart"/>
          </w:tcPr>
          <w:p w14:paraId="24622DF0" w14:textId="77777777" w:rsidR="00506342" w:rsidRPr="00772732" w:rsidRDefault="00506342" w:rsidP="00E36ADA">
            <w:pPr>
              <w:rPr>
                <w:b/>
                <w:sz w:val="16"/>
                <w:szCs w:val="16"/>
              </w:rPr>
            </w:pPr>
            <w:r>
              <w:rPr>
                <w:b/>
                <w:sz w:val="16"/>
                <w:szCs w:val="16"/>
              </w:rPr>
              <w:t>Säteilylähteet</w:t>
            </w:r>
          </w:p>
        </w:tc>
        <w:tc>
          <w:tcPr>
            <w:tcW w:w="0" w:type="auto"/>
            <w:gridSpan w:val="3"/>
            <w:tcBorders>
              <w:right w:val="single" w:sz="4" w:space="0" w:color="auto"/>
            </w:tcBorders>
          </w:tcPr>
          <w:p w14:paraId="65891BF0" w14:textId="77777777" w:rsidR="00506342" w:rsidRPr="00772732" w:rsidRDefault="00506342" w:rsidP="00E36ADA">
            <w:pPr>
              <w:jc w:val="center"/>
              <w:rPr>
                <w:b/>
                <w:sz w:val="16"/>
                <w:szCs w:val="16"/>
              </w:rPr>
            </w:pPr>
            <w:r>
              <w:rPr>
                <w:b/>
                <w:sz w:val="16"/>
                <w:szCs w:val="16"/>
              </w:rPr>
              <w:t>Luokka</w:t>
            </w:r>
          </w:p>
        </w:tc>
        <w:tc>
          <w:tcPr>
            <w:tcW w:w="0" w:type="auto"/>
            <w:tcBorders>
              <w:right w:val="single" w:sz="4" w:space="0" w:color="auto"/>
            </w:tcBorders>
          </w:tcPr>
          <w:p w14:paraId="5801B887" w14:textId="77777777" w:rsidR="00506342" w:rsidRPr="00772732" w:rsidRDefault="00506342" w:rsidP="00E36ADA">
            <w:pPr>
              <w:jc w:val="center"/>
              <w:rPr>
                <w:b/>
                <w:sz w:val="16"/>
                <w:szCs w:val="16"/>
              </w:rPr>
            </w:pPr>
          </w:p>
        </w:tc>
      </w:tr>
      <w:tr w:rsidR="00506342" w:rsidRPr="00772732" w14:paraId="15FA58D6" w14:textId="77777777" w:rsidTr="008572AD">
        <w:tc>
          <w:tcPr>
            <w:tcW w:w="0" w:type="auto"/>
            <w:vMerge/>
          </w:tcPr>
          <w:p w14:paraId="066A9F9F" w14:textId="77777777" w:rsidR="00506342" w:rsidRPr="00772732" w:rsidRDefault="00506342" w:rsidP="00E36ADA">
            <w:pPr>
              <w:rPr>
                <w:b/>
                <w:sz w:val="16"/>
                <w:szCs w:val="16"/>
              </w:rPr>
            </w:pPr>
          </w:p>
        </w:tc>
        <w:tc>
          <w:tcPr>
            <w:tcW w:w="0" w:type="auto"/>
          </w:tcPr>
          <w:p w14:paraId="437A460B" w14:textId="77777777" w:rsidR="00506342" w:rsidRPr="00772732" w:rsidRDefault="00506342" w:rsidP="00E36ADA">
            <w:pPr>
              <w:jc w:val="center"/>
              <w:rPr>
                <w:b/>
                <w:sz w:val="16"/>
                <w:szCs w:val="16"/>
              </w:rPr>
            </w:pPr>
            <w:r>
              <w:rPr>
                <w:b/>
                <w:sz w:val="16"/>
                <w:szCs w:val="16"/>
              </w:rPr>
              <w:t>3</w:t>
            </w:r>
          </w:p>
        </w:tc>
        <w:tc>
          <w:tcPr>
            <w:tcW w:w="0" w:type="auto"/>
          </w:tcPr>
          <w:p w14:paraId="44DDDF13" w14:textId="77777777" w:rsidR="00506342" w:rsidRPr="00772732" w:rsidRDefault="00506342" w:rsidP="00E36ADA">
            <w:pPr>
              <w:jc w:val="center"/>
              <w:rPr>
                <w:b/>
                <w:sz w:val="16"/>
                <w:szCs w:val="16"/>
              </w:rPr>
            </w:pPr>
            <w:r>
              <w:rPr>
                <w:b/>
                <w:sz w:val="16"/>
                <w:szCs w:val="16"/>
              </w:rPr>
              <w:t>2</w:t>
            </w:r>
          </w:p>
        </w:tc>
        <w:tc>
          <w:tcPr>
            <w:tcW w:w="0" w:type="auto"/>
            <w:tcBorders>
              <w:right w:val="single" w:sz="4" w:space="0" w:color="auto"/>
            </w:tcBorders>
          </w:tcPr>
          <w:p w14:paraId="0EC3B5E5" w14:textId="77777777" w:rsidR="00506342" w:rsidRPr="00772732" w:rsidRDefault="00506342" w:rsidP="00E36ADA">
            <w:pPr>
              <w:jc w:val="center"/>
              <w:rPr>
                <w:b/>
                <w:sz w:val="16"/>
                <w:szCs w:val="16"/>
              </w:rPr>
            </w:pPr>
            <w:r>
              <w:rPr>
                <w:b/>
                <w:sz w:val="16"/>
                <w:szCs w:val="16"/>
              </w:rPr>
              <w:t>1</w:t>
            </w:r>
          </w:p>
        </w:tc>
        <w:tc>
          <w:tcPr>
            <w:tcW w:w="0" w:type="auto"/>
            <w:tcBorders>
              <w:top w:val="single" w:sz="4" w:space="0" w:color="auto"/>
              <w:left w:val="single" w:sz="4" w:space="0" w:color="auto"/>
              <w:right w:val="single" w:sz="4" w:space="0" w:color="auto"/>
            </w:tcBorders>
          </w:tcPr>
          <w:p w14:paraId="0525CB71" w14:textId="77777777" w:rsidR="00506342" w:rsidRPr="00772732" w:rsidRDefault="00506342" w:rsidP="00E36ADA">
            <w:pPr>
              <w:jc w:val="center"/>
              <w:rPr>
                <w:sz w:val="16"/>
                <w:szCs w:val="16"/>
              </w:rPr>
            </w:pPr>
            <w:r w:rsidRPr="00772732">
              <w:rPr>
                <w:b/>
                <w:sz w:val="16"/>
                <w:szCs w:val="16"/>
              </w:rPr>
              <w:t>Huomioitavaa</w:t>
            </w:r>
          </w:p>
        </w:tc>
      </w:tr>
      <w:tr w:rsidR="00506342" w:rsidRPr="00772732" w14:paraId="3A402C83" w14:textId="77777777" w:rsidTr="008572AD">
        <w:tc>
          <w:tcPr>
            <w:tcW w:w="0" w:type="auto"/>
            <w:vMerge w:val="restart"/>
            <w:tcBorders>
              <w:top w:val="single" w:sz="4" w:space="0" w:color="auto"/>
            </w:tcBorders>
          </w:tcPr>
          <w:p w14:paraId="402ED8B8" w14:textId="77777777" w:rsidR="00506342" w:rsidRPr="00EC5087" w:rsidRDefault="00506342" w:rsidP="00E36ADA">
            <w:pPr>
              <w:rPr>
                <w:b/>
                <w:sz w:val="16"/>
                <w:szCs w:val="16"/>
              </w:rPr>
            </w:pPr>
            <w:r>
              <w:rPr>
                <w:b/>
                <w:sz w:val="16"/>
                <w:szCs w:val="16"/>
              </w:rPr>
              <w:t>Avolähteet</w:t>
            </w:r>
            <w:r w:rsidRPr="00EC5087">
              <w:rPr>
                <w:b/>
                <w:sz w:val="16"/>
                <w:szCs w:val="16"/>
              </w:rPr>
              <w:t xml:space="preserve"> </w:t>
            </w:r>
            <w:r>
              <w:rPr>
                <w:b/>
                <w:sz w:val="16"/>
                <w:szCs w:val="16"/>
              </w:rPr>
              <w:t>laboratoriossa</w:t>
            </w:r>
          </w:p>
        </w:tc>
        <w:tc>
          <w:tcPr>
            <w:tcW w:w="0" w:type="auto"/>
          </w:tcPr>
          <w:p w14:paraId="603CCF8D" w14:textId="77777777" w:rsidR="00506342" w:rsidRPr="00772732" w:rsidRDefault="00506342" w:rsidP="00E36ADA">
            <w:pPr>
              <w:rPr>
                <w:sz w:val="16"/>
                <w:szCs w:val="16"/>
              </w:rPr>
            </w:pPr>
            <w:r>
              <w:rPr>
                <w:sz w:val="16"/>
                <w:szCs w:val="16"/>
              </w:rPr>
              <w:t>Aktiivisuus ≤</w:t>
            </w:r>
            <w:r w:rsidRPr="00772732">
              <w:rPr>
                <w:sz w:val="16"/>
                <w:szCs w:val="16"/>
              </w:rPr>
              <w:t xml:space="preserve"> 10 x vapaaraja</w:t>
            </w:r>
          </w:p>
        </w:tc>
        <w:tc>
          <w:tcPr>
            <w:tcW w:w="0" w:type="auto"/>
          </w:tcPr>
          <w:p w14:paraId="17F343B8" w14:textId="77777777" w:rsidR="00506342" w:rsidRPr="00772732" w:rsidRDefault="00506342" w:rsidP="00E36ADA">
            <w:pPr>
              <w:rPr>
                <w:sz w:val="16"/>
                <w:szCs w:val="16"/>
              </w:rPr>
            </w:pPr>
            <w:r>
              <w:rPr>
                <w:sz w:val="16"/>
                <w:szCs w:val="16"/>
              </w:rPr>
              <w:t>Aktiivisuus ≤</w:t>
            </w:r>
            <w:r w:rsidRPr="00772732">
              <w:rPr>
                <w:sz w:val="16"/>
                <w:szCs w:val="16"/>
              </w:rPr>
              <w:t xml:space="preserve"> 10000 x vapaaraja</w:t>
            </w:r>
          </w:p>
        </w:tc>
        <w:tc>
          <w:tcPr>
            <w:tcW w:w="0" w:type="auto"/>
          </w:tcPr>
          <w:p w14:paraId="6A79A81B" w14:textId="77777777" w:rsidR="00506342" w:rsidRPr="00772732" w:rsidRDefault="00506342" w:rsidP="00E36ADA">
            <w:pPr>
              <w:rPr>
                <w:sz w:val="16"/>
                <w:szCs w:val="16"/>
              </w:rPr>
            </w:pPr>
            <w:r>
              <w:rPr>
                <w:sz w:val="16"/>
                <w:szCs w:val="16"/>
              </w:rPr>
              <w:t>Aktiivisuus &gt;</w:t>
            </w:r>
            <w:r w:rsidRPr="00772732">
              <w:rPr>
                <w:sz w:val="16"/>
                <w:szCs w:val="16"/>
              </w:rPr>
              <w:t xml:space="preserve"> 10000 x vapaaraja</w:t>
            </w:r>
          </w:p>
        </w:tc>
        <w:tc>
          <w:tcPr>
            <w:tcW w:w="0" w:type="auto"/>
            <w:vMerge w:val="restart"/>
            <w:tcBorders>
              <w:right w:val="single" w:sz="4" w:space="0" w:color="auto"/>
            </w:tcBorders>
          </w:tcPr>
          <w:p w14:paraId="583311D6" w14:textId="77777777" w:rsidR="00506342" w:rsidRPr="00772732" w:rsidRDefault="00506342" w:rsidP="00E36ADA">
            <w:pPr>
              <w:rPr>
                <w:sz w:val="16"/>
                <w:szCs w:val="16"/>
              </w:rPr>
            </w:pPr>
            <w:r w:rsidRPr="00772732">
              <w:rPr>
                <w:sz w:val="16"/>
                <w:szCs w:val="16"/>
              </w:rPr>
              <w:t>Aktiivisuus on kerralla käsiteltävän avolähteen suurin aktiivisuus</w:t>
            </w:r>
            <w:r>
              <w:rPr>
                <w:sz w:val="16"/>
                <w:szCs w:val="16"/>
              </w:rPr>
              <w:t xml:space="preserve">.   </w:t>
            </w:r>
          </w:p>
        </w:tc>
      </w:tr>
      <w:tr w:rsidR="00506342" w:rsidRPr="00772732" w14:paraId="30CC1B7F" w14:textId="77777777" w:rsidTr="008572AD">
        <w:tc>
          <w:tcPr>
            <w:tcW w:w="0" w:type="auto"/>
            <w:vMerge/>
          </w:tcPr>
          <w:p w14:paraId="4AF87B66" w14:textId="77777777" w:rsidR="00506342" w:rsidRDefault="00506342" w:rsidP="00E36ADA">
            <w:pPr>
              <w:rPr>
                <w:b/>
                <w:sz w:val="16"/>
                <w:szCs w:val="16"/>
              </w:rPr>
            </w:pPr>
          </w:p>
        </w:tc>
        <w:tc>
          <w:tcPr>
            <w:tcW w:w="0" w:type="auto"/>
            <w:gridSpan w:val="3"/>
          </w:tcPr>
          <w:p w14:paraId="39A2E1C7" w14:textId="77777777" w:rsidR="00506342" w:rsidRPr="00772732" w:rsidRDefault="00506342" w:rsidP="00E36ADA">
            <w:pPr>
              <w:rPr>
                <w:sz w:val="16"/>
                <w:szCs w:val="16"/>
              </w:rPr>
            </w:pPr>
            <w:r>
              <w:rPr>
                <w:sz w:val="16"/>
                <w:szCs w:val="16"/>
              </w:rPr>
              <w:t xml:space="preserve">Kerralla käsiteltävän lähteen suurin aktiivisuus kerrottaan  seuraavilla luvulla toiminnan mukaan: erityisen riskialtis työ : 0,1,  käsittely tavanomaisia kemiallisia menetelmiä käyttäen: 1, yksinkertainen käsittely: 10 ja varastointi: 100. </w:t>
            </w:r>
          </w:p>
        </w:tc>
        <w:tc>
          <w:tcPr>
            <w:tcW w:w="0" w:type="auto"/>
            <w:vMerge/>
            <w:tcBorders>
              <w:right w:val="single" w:sz="4" w:space="0" w:color="auto"/>
            </w:tcBorders>
          </w:tcPr>
          <w:p w14:paraId="38BC7472" w14:textId="77777777" w:rsidR="00506342" w:rsidRPr="00772732" w:rsidRDefault="00506342" w:rsidP="00E36ADA">
            <w:pPr>
              <w:rPr>
                <w:sz w:val="16"/>
                <w:szCs w:val="16"/>
              </w:rPr>
            </w:pPr>
          </w:p>
        </w:tc>
      </w:tr>
      <w:tr w:rsidR="00506342" w:rsidRPr="00772732" w14:paraId="6F154A95" w14:textId="77777777" w:rsidTr="008572AD">
        <w:tc>
          <w:tcPr>
            <w:tcW w:w="0" w:type="auto"/>
            <w:tcBorders>
              <w:top w:val="single" w:sz="4" w:space="0" w:color="auto"/>
            </w:tcBorders>
          </w:tcPr>
          <w:p w14:paraId="2147A810" w14:textId="77777777" w:rsidR="00506342" w:rsidRPr="00EC5087" w:rsidRDefault="00506342" w:rsidP="00E36ADA">
            <w:pPr>
              <w:rPr>
                <w:b/>
                <w:sz w:val="16"/>
                <w:szCs w:val="16"/>
              </w:rPr>
            </w:pPr>
            <w:r>
              <w:rPr>
                <w:b/>
                <w:sz w:val="16"/>
                <w:szCs w:val="16"/>
              </w:rPr>
              <w:t>Radioaktiivisten aineiden päästöt</w:t>
            </w:r>
          </w:p>
        </w:tc>
        <w:tc>
          <w:tcPr>
            <w:tcW w:w="0" w:type="auto"/>
          </w:tcPr>
          <w:p w14:paraId="550727E2" w14:textId="77777777" w:rsidR="00506342" w:rsidRPr="00772732" w:rsidRDefault="00506342" w:rsidP="00E36ADA">
            <w:pPr>
              <w:rPr>
                <w:sz w:val="16"/>
                <w:szCs w:val="16"/>
              </w:rPr>
            </w:pPr>
            <w:r>
              <w:rPr>
                <w:sz w:val="16"/>
                <w:szCs w:val="16"/>
              </w:rPr>
              <w:t>Efektiivinen annos ≤ 10 µSv vuodessa.</w:t>
            </w:r>
          </w:p>
        </w:tc>
        <w:tc>
          <w:tcPr>
            <w:tcW w:w="0" w:type="auto"/>
          </w:tcPr>
          <w:p w14:paraId="0E91DA2D" w14:textId="77777777" w:rsidR="00506342" w:rsidRPr="00772732" w:rsidRDefault="00506342" w:rsidP="00E36ADA">
            <w:pPr>
              <w:rPr>
                <w:sz w:val="16"/>
                <w:szCs w:val="16"/>
              </w:rPr>
            </w:pPr>
            <w:r>
              <w:rPr>
                <w:sz w:val="16"/>
                <w:szCs w:val="16"/>
              </w:rPr>
              <w:t xml:space="preserve">Efektiivinen annos ≤ 0,1 x Väestön annosraja. </w:t>
            </w:r>
          </w:p>
        </w:tc>
        <w:tc>
          <w:tcPr>
            <w:tcW w:w="0" w:type="auto"/>
          </w:tcPr>
          <w:p w14:paraId="0C6BB85B" w14:textId="77777777" w:rsidR="00506342" w:rsidRPr="00772732" w:rsidRDefault="00506342" w:rsidP="00E36ADA">
            <w:pPr>
              <w:rPr>
                <w:sz w:val="16"/>
                <w:szCs w:val="16"/>
              </w:rPr>
            </w:pPr>
            <w:r>
              <w:rPr>
                <w:sz w:val="16"/>
                <w:szCs w:val="16"/>
              </w:rPr>
              <w:t>Efektiivinen annos &gt; 0,1 mSv vuodessa .</w:t>
            </w:r>
          </w:p>
        </w:tc>
        <w:tc>
          <w:tcPr>
            <w:tcW w:w="0" w:type="auto"/>
            <w:tcBorders>
              <w:right w:val="single" w:sz="4" w:space="0" w:color="auto"/>
            </w:tcBorders>
          </w:tcPr>
          <w:p w14:paraId="1B8C43E4" w14:textId="77777777" w:rsidR="00506342" w:rsidRPr="00772732" w:rsidRDefault="00506342" w:rsidP="00E36ADA">
            <w:pPr>
              <w:rPr>
                <w:sz w:val="16"/>
                <w:szCs w:val="16"/>
              </w:rPr>
            </w:pPr>
            <w:r>
              <w:rPr>
                <w:sz w:val="16"/>
                <w:szCs w:val="16"/>
              </w:rPr>
              <w:t>Efektiivinen annos on päästöistä edustavalle henkilölle aiheutuva vuosiannos.</w:t>
            </w:r>
          </w:p>
        </w:tc>
      </w:tr>
      <w:tr w:rsidR="00506342" w:rsidRPr="00772732" w14:paraId="657B119E" w14:textId="77777777" w:rsidTr="008572AD">
        <w:tc>
          <w:tcPr>
            <w:tcW w:w="0" w:type="auto"/>
            <w:tcBorders>
              <w:top w:val="single" w:sz="4" w:space="0" w:color="auto"/>
            </w:tcBorders>
          </w:tcPr>
          <w:p w14:paraId="1EDB1E48" w14:textId="77777777" w:rsidR="00506342" w:rsidRDefault="00506342" w:rsidP="00E36ADA">
            <w:pPr>
              <w:rPr>
                <w:b/>
                <w:sz w:val="16"/>
                <w:szCs w:val="16"/>
              </w:rPr>
            </w:pPr>
            <w:r>
              <w:rPr>
                <w:b/>
                <w:sz w:val="16"/>
                <w:szCs w:val="16"/>
              </w:rPr>
              <w:t>Umpilähteet</w:t>
            </w:r>
          </w:p>
        </w:tc>
        <w:tc>
          <w:tcPr>
            <w:tcW w:w="0" w:type="auto"/>
          </w:tcPr>
          <w:p w14:paraId="57257610" w14:textId="77777777" w:rsidR="00506342" w:rsidRPr="00772732" w:rsidRDefault="00506342" w:rsidP="00E36ADA">
            <w:pPr>
              <w:rPr>
                <w:sz w:val="16"/>
                <w:szCs w:val="16"/>
              </w:rPr>
            </w:pPr>
            <w:r>
              <w:rPr>
                <w:sz w:val="16"/>
                <w:szCs w:val="16"/>
              </w:rPr>
              <w:t xml:space="preserve">Aktiivisuus ≤ </w:t>
            </w:r>
            <w:r w:rsidRPr="00772732">
              <w:rPr>
                <w:sz w:val="16"/>
                <w:szCs w:val="16"/>
              </w:rPr>
              <w:t xml:space="preserve">korkea-aktiivisen umpilähteen </w:t>
            </w:r>
            <w:r>
              <w:rPr>
                <w:sz w:val="16"/>
                <w:szCs w:val="16"/>
              </w:rPr>
              <w:t>aktiivisuustaso</w:t>
            </w:r>
          </w:p>
          <w:p w14:paraId="532F2FB5" w14:textId="77777777" w:rsidR="00506342" w:rsidRPr="00772732" w:rsidRDefault="00506342" w:rsidP="00E36ADA">
            <w:pPr>
              <w:rPr>
                <w:sz w:val="16"/>
                <w:szCs w:val="16"/>
              </w:rPr>
            </w:pPr>
          </w:p>
          <w:p w14:paraId="5446222C" w14:textId="77777777" w:rsidR="00506342" w:rsidRPr="00772732" w:rsidRDefault="00506342" w:rsidP="00E36ADA">
            <w:pPr>
              <w:rPr>
                <w:sz w:val="16"/>
                <w:szCs w:val="16"/>
              </w:rPr>
            </w:pPr>
          </w:p>
        </w:tc>
        <w:tc>
          <w:tcPr>
            <w:tcW w:w="0" w:type="auto"/>
          </w:tcPr>
          <w:p w14:paraId="2199CFA6" w14:textId="77777777" w:rsidR="00506342" w:rsidRPr="00772732" w:rsidRDefault="00506342" w:rsidP="00E36ADA">
            <w:pPr>
              <w:rPr>
                <w:sz w:val="16"/>
                <w:szCs w:val="16"/>
              </w:rPr>
            </w:pPr>
            <w:r w:rsidRPr="00772732">
              <w:rPr>
                <w:sz w:val="16"/>
                <w:szCs w:val="16"/>
              </w:rPr>
              <w:t>Aktiivisuus ≤  1000 x korkea-aktiivisen umpilähteen aktiivisuustaso.</w:t>
            </w:r>
          </w:p>
          <w:p w14:paraId="24BFC8BB" w14:textId="77777777" w:rsidR="00506342" w:rsidRPr="00772732" w:rsidRDefault="00506342" w:rsidP="00E36ADA">
            <w:pPr>
              <w:rPr>
                <w:sz w:val="16"/>
                <w:szCs w:val="16"/>
              </w:rPr>
            </w:pPr>
            <w:r w:rsidRPr="00772732">
              <w:rPr>
                <w:sz w:val="16"/>
                <w:szCs w:val="16"/>
              </w:rPr>
              <w:t xml:space="preserve">. </w:t>
            </w:r>
          </w:p>
          <w:p w14:paraId="6C8474F7" w14:textId="77777777" w:rsidR="00506342" w:rsidRPr="00772732" w:rsidRDefault="00506342" w:rsidP="00E36ADA">
            <w:pPr>
              <w:rPr>
                <w:sz w:val="16"/>
                <w:szCs w:val="16"/>
              </w:rPr>
            </w:pPr>
          </w:p>
        </w:tc>
        <w:tc>
          <w:tcPr>
            <w:tcW w:w="0" w:type="auto"/>
          </w:tcPr>
          <w:p w14:paraId="30880910" w14:textId="77777777" w:rsidR="00506342" w:rsidRPr="00772732" w:rsidRDefault="00506342" w:rsidP="00E36ADA">
            <w:pPr>
              <w:rPr>
                <w:sz w:val="16"/>
                <w:szCs w:val="16"/>
              </w:rPr>
            </w:pPr>
            <w:r>
              <w:rPr>
                <w:sz w:val="16"/>
                <w:szCs w:val="16"/>
              </w:rPr>
              <w:t>Aktiivisuus &gt;</w:t>
            </w:r>
            <w:r w:rsidRPr="00772732">
              <w:rPr>
                <w:sz w:val="16"/>
                <w:szCs w:val="16"/>
              </w:rPr>
              <w:t xml:space="preserve"> 1000 x korkea-aktiivisen umpilähteen aktiivisuustaso</w:t>
            </w:r>
            <w:r>
              <w:rPr>
                <w:sz w:val="16"/>
                <w:szCs w:val="16"/>
              </w:rPr>
              <w:t>.</w:t>
            </w:r>
          </w:p>
          <w:p w14:paraId="6DD082DA" w14:textId="77777777" w:rsidR="00506342" w:rsidRPr="00772732" w:rsidRDefault="00506342" w:rsidP="00E36ADA">
            <w:pPr>
              <w:rPr>
                <w:sz w:val="16"/>
                <w:szCs w:val="16"/>
              </w:rPr>
            </w:pPr>
          </w:p>
        </w:tc>
        <w:tc>
          <w:tcPr>
            <w:tcW w:w="0" w:type="auto"/>
            <w:tcBorders>
              <w:right w:val="single" w:sz="4" w:space="0" w:color="auto"/>
            </w:tcBorders>
          </w:tcPr>
          <w:p w14:paraId="7338CF71" w14:textId="77777777" w:rsidR="00506342" w:rsidRPr="00772732" w:rsidRDefault="00506342" w:rsidP="00E36ADA">
            <w:pPr>
              <w:rPr>
                <w:sz w:val="16"/>
                <w:szCs w:val="16"/>
              </w:rPr>
            </w:pPr>
          </w:p>
        </w:tc>
      </w:tr>
      <w:tr w:rsidR="00506342" w:rsidRPr="00772732" w14:paraId="7632A14B" w14:textId="77777777" w:rsidTr="008572AD">
        <w:trPr>
          <w:trHeight w:val="1405"/>
        </w:trPr>
        <w:tc>
          <w:tcPr>
            <w:tcW w:w="0" w:type="auto"/>
            <w:vMerge w:val="restart"/>
            <w:tcBorders>
              <w:top w:val="single" w:sz="4" w:space="0" w:color="auto"/>
            </w:tcBorders>
          </w:tcPr>
          <w:p w14:paraId="3D5FC612" w14:textId="77777777" w:rsidR="00506342" w:rsidRPr="00A72C4C" w:rsidRDefault="00506342" w:rsidP="00E36ADA">
            <w:pPr>
              <w:rPr>
                <w:b/>
                <w:sz w:val="16"/>
                <w:szCs w:val="16"/>
              </w:rPr>
            </w:pPr>
            <w:r w:rsidRPr="00A72C4C">
              <w:rPr>
                <w:b/>
                <w:sz w:val="16"/>
                <w:szCs w:val="16"/>
              </w:rPr>
              <w:t>Läjityk</w:t>
            </w:r>
            <w:r>
              <w:rPr>
                <w:b/>
                <w:sz w:val="16"/>
                <w:szCs w:val="16"/>
              </w:rPr>
              <w:t>senä loppusijoitettavat jätteet</w:t>
            </w:r>
            <w:r w:rsidRPr="00A72C4C">
              <w:rPr>
                <w:b/>
                <w:sz w:val="16"/>
                <w:szCs w:val="16"/>
              </w:rPr>
              <w:t xml:space="preserve"> </w:t>
            </w:r>
          </w:p>
          <w:p w14:paraId="1E3E7B0E" w14:textId="77777777" w:rsidR="00506342" w:rsidRPr="00772732" w:rsidRDefault="00506342" w:rsidP="00E36ADA">
            <w:pPr>
              <w:rPr>
                <w:sz w:val="16"/>
                <w:szCs w:val="16"/>
              </w:rPr>
            </w:pPr>
          </w:p>
        </w:tc>
        <w:tc>
          <w:tcPr>
            <w:tcW w:w="0" w:type="auto"/>
            <w:tcBorders>
              <w:top w:val="single" w:sz="4" w:space="0" w:color="auto"/>
              <w:bottom w:val="single" w:sz="4" w:space="0" w:color="auto"/>
            </w:tcBorders>
          </w:tcPr>
          <w:p w14:paraId="5E038BBF" w14:textId="77777777" w:rsidR="00506342" w:rsidRDefault="00506342" w:rsidP="00E36ADA">
            <w:pPr>
              <w:rPr>
                <w:sz w:val="20"/>
                <w:szCs w:val="20"/>
              </w:rPr>
            </w:pPr>
          </w:p>
          <w:p w14:paraId="4914F90D" w14:textId="77777777" w:rsidR="00506342" w:rsidRPr="00916E5C" w:rsidRDefault="00506342" w:rsidP="00E36ADA">
            <w:pPr>
              <w:rPr>
                <w:sz w:val="20"/>
                <w:szCs w:val="20"/>
              </w:rPr>
            </w:pPr>
            <m:oMathPara>
              <m:oMath>
                <m:r>
                  <w:rPr>
                    <w:rFonts w:ascii="Cambria Math" w:hAnsi="Cambria Math"/>
                    <w:sz w:val="20"/>
                    <w:szCs w:val="20"/>
                  </w:rPr>
                  <m:t>M∙</m:t>
                </m:r>
                <m:nary>
                  <m:naryPr>
                    <m:chr m:val="∑"/>
                    <m:limLoc m:val="undOvr"/>
                    <m:supHide m:val="1"/>
                    <m:ctrlPr>
                      <w:rPr>
                        <w:rFonts w:ascii="Cambria Math" w:hAnsi="Cambria Math"/>
                        <w:i/>
                        <w:sz w:val="20"/>
                        <w:szCs w:val="20"/>
                      </w:rPr>
                    </m:ctrlPr>
                  </m:naryPr>
                  <m:sub>
                    <m:r>
                      <w:rPr>
                        <w:rFonts w:ascii="Cambria Math" w:hAnsi="Cambria Math"/>
                        <w:sz w:val="20"/>
                        <w:szCs w:val="20"/>
                      </w:rPr>
                      <m:t>i</m:t>
                    </m:r>
                  </m:sub>
                  <m:sup/>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i</m:t>
                            </m:r>
                          </m:sub>
                        </m:sSub>
                      </m:num>
                      <m:den>
                        <m:sSub>
                          <m:sSubPr>
                            <m:ctrlPr>
                              <w:rPr>
                                <w:rFonts w:ascii="Cambria Math" w:hAnsi="Cambria Math"/>
                                <w:i/>
                                <w:sz w:val="20"/>
                                <w:szCs w:val="20"/>
                              </w:rPr>
                            </m:ctrlPr>
                          </m:sSubPr>
                          <m:e>
                            <m:r>
                              <w:rPr>
                                <w:rFonts w:ascii="Cambria Math" w:hAnsi="Cambria Math"/>
                                <w:sz w:val="20"/>
                                <w:szCs w:val="20"/>
                              </w:rPr>
                              <m:t>CL</m:t>
                            </m:r>
                          </m:e>
                          <m:sub>
                            <m:r>
                              <w:rPr>
                                <w:rFonts w:ascii="Cambria Math" w:hAnsi="Cambria Math"/>
                                <w:sz w:val="20"/>
                                <w:szCs w:val="20"/>
                              </w:rPr>
                              <m:t>i</m:t>
                            </m:r>
                          </m:sub>
                        </m:sSub>
                      </m:den>
                    </m:f>
                  </m:e>
                </m:nary>
                <m:r>
                  <w:rPr>
                    <w:rFonts w:ascii="Cambria Math" w:hAnsi="Cambria Math"/>
                    <w:sz w:val="20"/>
                    <w:szCs w:val="20"/>
                  </w:rPr>
                  <m:t>≤1000</m:t>
                </m:r>
              </m:oMath>
            </m:oMathPara>
          </w:p>
          <w:p w14:paraId="44A33952" w14:textId="77777777" w:rsidR="00506342" w:rsidRPr="00916E5C" w:rsidRDefault="00506342" w:rsidP="00E36ADA">
            <w:pPr>
              <w:rPr>
                <w:sz w:val="20"/>
                <w:szCs w:val="20"/>
              </w:rPr>
            </w:pPr>
            <w:r w:rsidRPr="00916E5C">
              <w:rPr>
                <w:sz w:val="20"/>
                <w:szCs w:val="20"/>
              </w:rPr>
              <w:t>ja</w:t>
            </w:r>
          </w:p>
          <w:p w14:paraId="44DAD136" w14:textId="77777777" w:rsidR="00506342" w:rsidRPr="00772732" w:rsidRDefault="00506342" w:rsidP="00E36ADA">
            <w:pPr>
              <w:rPr>
                <w:sz w:val="16"/>
                <w:szCs w:val="16"/>
              </w:rPr>
            </w:pPr>
            <w:r w:rsidRPr="00916E5C">
              <w:rPr>
                <w:sz w:val="20"/>
                <w:szCs w:val="20"/>
              </w:rPr>
              <w:t>c</w:t>
            </w:r>
            <w:r w:rsidRPr="00916E5C">
              <w:rPr>
                <w:sz w:val="20"/>
                <w:szCs w:val="20"/>
                <w:vertAlign w:val="subscript"/>
              </w:rPr>
              <w:t>i</w:t>
            </w:r>
            <w:r>
              <w:rPr>
                <w:sz w:val="20"/>
                <w:szCs w:val="20"/>
              </w:rPr>
              <w:t xml:space="preserve"> ≤</w:t>
            </w:r>
            <w:r w:rsidRPr="00916E5C">
              <w:rPr>
                <w:sz w:val="20"/>
                <w:szCs w:val="20"/>
              </w:rPr>
              <w:t xml:space="preserve"> 10 x CL</w:t>
            </w:r>
            <w:r w:rsidRPr="00916E5C">
              <w:rPr>
                <w:sz w:val="20"/>
                <w:szCs w:val="20"/>
                <w:vertAlign w:val="subscript"/>
              </w:rPr>
              <w:t>i</w:t>
            </w:r>
            <w:r w:rsidRPr="00772732">
              <w:rPr>
                <w:sz w:val="16"/>
                <w:szCs w:val="16"/>
              </w:rPr>
              <w:t xml:space="preserve"> </w:t>
            </w:r>
          </w:p>
        </w:tc>
        <w:tc>
          <w:tcPr>
            <w:tcW w:w="0" w:type="auto"/>
            <w:tcBorders>
              <w:top w:val="single" w:sz="4" w:space="0" w:color="auto"/>
              <w:bottom w:val="single" w:sz="4" w:space="0" w:color="auto"/>
            </w:tcBorders>
          </w:tcPr>
          <w:p w14:paraId="1998D6F7" w14:textId="77777777" w:rsidR="00506342" w:rsidRDefault="00506342" w:rsidP="00E36ADA">
            <w:pPr>
              <w:rPr>
                <w:sz w:val="20"/>
                <w:szCs w:val="20"/>
              </w:rPr>
            </w:pPr>
          </w:p>
          <w:p w14:paraId="177B8D1C" w14:textId="77777777" w:rsidR="00506342" w:rsidRPr="00916E5C" w:rsidRDefault="00506342" w:rsidP="00E36ADA">
            <w:pPr>
              <w:rPr>
                <w:sz w:val="20"/>
                <w:szCs w:val="20"/>
              </w:rPr>
            </w:pPr>
            <m:oMathPara>
              <m:oMathParaPr>
                <m:jc m:val="left"/>
              </m:oMathParaPr>
              <m:oMath>
                <m:r>
                  <w:rPr>
                    <w:rFonts w:ascii="Cambria Math" w:hAnsi="Cambria Math"/>
                    <w:sz w:val="20"/>
                    <w:szCs w:val="20"/>
                  </w:rPr>
                  <m:t>M∙</m:t>
                </m:r>
                <m:nary>
                  <m:naryPr>
                    <m:chr m:val="∑"/>
                    <m:limLoc m:val="undOvr"/>
                    <m:supHide m:val="1"/>
                    <m:ctrlPr>
                      <w:rPr>
                        <w:rFonts w:ascii="Cambria Math" w:hAnsi="Cambria Math"/>
                        <w:i/>
                        <w:sz w:val="20"/>
                        <w:szCs w:val="20"/>
                      </w:rPr>
                    </m:ctrlPr>
                  </m:naryPr>
                  <m:sub>
                    <m:r>
                      <w:rPr>
                        <w:rFonts w:ascii="Cambria Math" w:hAnsi="Cambria Math"/>
                        <w:sz w:val="20"/>
                        <w:szCs w:val="20"/>
                      </w:rPr>
                      <m:t>i</m:t>
                    </m:r>
                  </m:sub>
                  <m:sup/>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i</m:t>
                            </m:r>
                          </m:sub>
                        </m:sSub>
                      </m:num>
                      <m:den>
                        <m:sSub>
                          <m:sSubPr>
                            <m:ctrlPr>
                              <w:rPr>
                                <w:rFonts w:ascii="Cambria Math" w:hAnsi="Cambria Math"/>
                                <w:i/>
                                <w:sz w:val="20"/>
                                <w:szCs w:val="20"/>
                              </w:rPr>
                            </m:ctrlPr>
                          </m:sSubPr>
                          <m:e>
                            <m:r>
                              <w:rPr>
                                <w:rFonts w:ascii="Cambria Math" w:hAnsi="Cambria Math"/>
                                <w:sz w:val="20"/>
                                <w:szCs w:val="20"/>
                              </w:rPr>
                              <m:t>CL</m:t>
                            </m:r>
                          </m:e>
                          <m:sub>
                            <m:r>
                              <w:rPr>
                                <w:rFonts w:ascii="Cambria Math" w:hAnsi="Cambria Math"/>
                                <w:sz w:val="20"/>
                                <w:szCs w:val="20"/>
                              </w:rPr>
                              <m:t>i</m:t>
                            </m:r>
                          </m:sub>
                        </m:sSub>
                      </m:den>
                    </m:f>
                  </m:e>
                </m:nary>
                <m:r>
                  <w:rPr>
                    <w:rFonts w:ascii="Cambria Math" w:hAnsi="Cambria Math"/>
                    <w:sz w:val="20"/>
                    <w:szCs w:val="20"/>
                  </w:rPr>
                  <m:t>≤10000</m:t>
                </m:r>
              </m:oMath>
            </m:oMathPara>
          </w:p>
          <w:p w14:paraId="79E13AAB" w14:textId="77777777" w:rsidR="00506342" w:rsidRPr="00916E5C" w:rsidRDefault="00506342" w:rsidP="00E36ADA">
            <w:pPr>
              <w:rPr>
                <w:sz w:val="20"/>
                <w:szCs w:val="20"/>
              </w:rPr>
            </w:pPr>
            <w:r w:rsidRPr="00916E5C">
              <w:rPr>
                <w:sz w:val="20"/>
                <w:szCs w:val="20"/>
              </w:rPr>
              <w:t>ja</w:t>
            </w:r>
          </w:p>
          <w:p w14:paraId="5094A79C" w14:textId="77777777" w:rsidR="00506342" w:rsidRPr="00772732" w:rsidRDefault="00506342" w:rsidP="00E36ADA">
            <w:pPr>
              <w:rPr>
                <w:sz w:val="16"/>
                <w:szCs w:val="16"/>
              </w:rPr>
            </w:pPr>
            <w:r w:rsidRPr="00916E5C">
              <w:rPr>
                <w:sz w:val="20"/>
                <w:szCs w:val="20"/>
              </w:rPr>
              <w:t>c</w:t>
            </w:r>
            <w:r w:rsidRPr="00916E5C">
              <w:rPr>
                <w:sz w:val="20"/>
                <w:szCs w:val="20"/>
                <w:vertAlign w:val="subscript"/>
              </w:rPr>
              <w:t>i</w:t>
            </w:r>
            <w:r>
              <w:rPr>
                <w:sz w:val="20"/>
                <w:szCs w:val="20"/>
              </w:rPr>
              <w:t xml:space="preserve"> ≤</w:t>
            </w:r>
            <w:r w:rsidRPr="00916E5C">
              <w:rPr>
                <w:sz w:val="20"/>
                <w:szCs w:val="20"/>
              </w:rPr>
              <w:t xml:space="preserve"> 10</w:t>
            </w:r>
            <w:r>
              <w:rPr>
                <w:sz w:val="20"/>
                <w:szCs w:val="20"/>
              </w:rPr>
              <w:t>0</w:t>
            </w:r>
            <w:r w:rsidRPr="00916E5C">
              <w:rPr>
                <w:sz w:val="20"/>
                <w:szCs w:val="20"/>
              </w:rPr>
              <w:t xml:space="preserve"> x CL</w:t>
            </w:r>
            <w:r w:rsidRPr="00916E5C">
              <w:rPr>
                <w:sz w:val="20"/>
                <w:szCs w:val="20"/>
                <w:vertAlign w:val="subscript"/>
              </w:rPr>
              <w:t>i</w:t>
            </w:r>
          </w:p>
        </w:tc>
        <w:tc>
          <w:tcPr>
            <w:tcW w:w="0" w:type="auto"/>
            <w:tcBorders>
              <w:top w:val="single" w:sz="4" w:space="0" w:color="auto"/>
              <w:bottom w:val="single" w:sz="4" w:space="0" w:color="auto"/>
            </w:tcBorders>
          </w:tcPr>
          <w:p w14:paraId="71EEDE51" w14:textId="77777777" w:rsidR="00506342" w:rsidRPr="00705F05" w:rsidRDefault="00506342" w:rsidP="00E36ADA">
            <w:pPr>
              <w:rPr>
                <w:sz w:val="20"/>
                <w:szCs w:val="20"/>
              </w:rPr>
            </w:pPr>
          </w:p>
          <w:p w14:paraId="73D3B0AD" w14:textId="77777777" w:rsidR="00506342" w:rsidRPr="00916E5C" w:rsidRDefault="00506342" w:rsidP="00E36ADA">
            <w:pPr>
              <w:rPr>
                <w:sz w:val="20"/>
                <w:szCs w:val="20"/>
              </w:rPr>
            </w:pPr>
            <m:oMathPara>
              <m:oMathParaPr>
                <m:jc m:val="left"/>
              </m:oMathParaPr>
              <m:oMath>
                <m:r>
                  <w:rPr>
                    <w:rFonts w:ascii="Cambria Math" w:hAnsi="Cambria Math"/>
                    <w:sz w:val="20"/>
                    <w:szCs w:val="20"/>
                  </w:rPr>
                  <m:t>M∙</m:t>
                </m:r>
                <m:nary>
                  <m:naryPr>
                    <m:chr m:val="∑"/>
                    <m:limLoc m:val="undOvr"/>
                    <m:supHide m:val="1"/>
                    <m:ctrlPr>
                      <w:rPr>
                        <w:rFonts w:ascii="Cambria Math" w:hAnsi="Cambria Math"/>
                        <w:i/>
                        <w:sz w:val="20"/>
                        <w:szCs w:val="20"/>
                      </w:rPr>
                    </m:ctrlPr>
                  </m:naryPr>
                  <m:sub>
                    <m:r>
                      <w:rPr>
                        <w:rFonts w:ascii="Cambria Math" w:hAnsi="Cambria Math"/>
                        <w:sz w:val="20"/>
                        <w:szCs w:val="20"/>
                      </w:rPr>
                      <m:t>i</m:t>
                    </m:r>
                  </m:sub>
                  <m:sup/>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i</m:t>
                            </m:r>
                          </m:sub>
                        </m:sSub>
                      </m:num>
                      <m:den>
                        <m:sSub>
                          <m:sSubPr>
                            <m:ctrlPr>
                              <w:rPr>
                                <w:rFonts w:ascii="Cambria Math" w:hAnsi="Cambria Math"/>
                                <w:i/>
                                <w:sz w:val="20"/>
                                <w:szCs w:val="20"/>
                              </w:rPr>
                            </m:ctrlPr>
                          </m:sSubPr>
                          <m:e>
                            <m:r>
                              <w:rPr>
                                <w:rFonts w:ascii="Cambria Math" w:hAnsi="Cambria Math"/>
                                <w:sz w:val="20"/>
                                <w:szCs w:val="20"/>
                              </w:rPr>
                              <m:t>CL</m:t>
                            </m:r>
                          </m:e>
                          <m:sub>
                            <m:r>
                              <w:rPr>
                                <w:rFonts w:ascii="Cambria Math" w:hAnsi="Cambria Math"/>
                                <w:sz w:val="20"/>
                                <w:szCs w:val="20"/>
                              </w:rPr>
                              <m:t>i</m:t>
                            </m:r>
                          </m:sub>
                        </m:sSub>
                      </m:den>
                    </m:f>
                  </m:e>
                </m:nary>
                <m:r>
                  <w:rPr>
                    <w:rFonts w:ascii="Cambria Math" w:hAnsi="Cambria Math"/>
                    <w:sz w:val="20"/>
                    <w:szCs w:val="20"/>
                  </w:rPr>
                  <m:t>&gt;10000</m:t>
                </m:r>
              </m:oMath>
            </m:oMathPara>
          </w:p>
          <w:p w14:paraId="1B2DC23A" w14:textId="77777777" w:rsidR="00506342" w:rsidRPr="00916E5C" w:rsidRDefault="00506342" w:rsidP="00E36ADA">
            <w:pPr>
              <w:rPr>
                <w:sz w:val="20"/>
                <w:szCs w:val="20"/>
              </w:rPr>
            </w:pPr>
            <w:r>
              <w:rPr>
                <w:sz w:val="20"/>
                <w:szCs w:val="20"/>
              </w:rPr>
              <w:t>tai</w:t>
            </w:r>
          </w:p>
          <w:p w14:paraId="4580FBC5" w14:textId="77777777" w:rsidR="00506342" w:rsidRPr="00772732" w:rsidRDefault="00506342" w:rsidP="00E36ADA">
            <w:pPr>
              <w:rPr>
                <w:sz w:val="16"/>
                <w:szCs w:val="16"/>
              </w:rPr>
            </w:pPr>
            <w:r w:rsidRPr="00916E5C">
              <w:rPr>
                <w:sz w:val="20"/>
                <w:szCs w:val="20"/>
              </w:rPr>
              <w:t>c</w:t>
            </w:r>
            <w:r w:rsidRPr="00916E5C">
              <w:rPr>
                <w:sz w:val="20"/>
                <w:szCs w:val="20"/>
                <w:vertAlign w:val="subscript"/>
              </w:rPr>
              <w:t>i</w:t>
            </w:r>
            <w:r>
              <w:rPr>
                <w:sz w:val="20"/>
                <w:szCs w:val="20"/>
              </w:rPr>
              <w:t xml:space="preserve"> &gt;</w:t>
            </w:r>
            <w:r w:rsidRPr="00916E5C">
              <w:rPr>
                <w:sz w:val="20"/>
                <w:szCs w:val="20"/>
              </w:rPr>
              <w:t>10</w:t>
            </w:r>
            <w:r>
              <w:rPr>
                <w:sz w:val="20"/>
                <w:szCs w:val="20"/>
              </w:rPr>
              <w:t>0</w:t>
            </w:r>
            <w:r w:rsidRPr="00916E5C">
              <w:rPr>
                <w:sz w:val="20"/>
                <w:szCs w:val="20"/>
              </w:rPr>
              <w:t xml:space="preserve"> x CL</w:t>
            </w:r>
            <w:r w:rsidRPr="00916E5C">
              <w:rPr>
                <w:sz w:val="20"/>
                <w:szCs w:val="20"/>
                <w:vertAlign w:val="subscript"/>
              </w:rPr>
              <w:t>i</w:t>
            </w:r>
          </w:p>
        </w:tc>
        <w:tc>
          <w:tcPr>
            <w:tcW w:w="0" w:type="auto"/>
            <w:vMerge w:val="restart"/>
            <w:tcBorders>
              <w:top w:val="single" w:sz="4" w:space="0" w:color="auto"/>
              <w:right w:val="single" w:sz="4" w:space="0" w:color="auto"/>
            </w:tcBorders>
          </w:tcPr>
          <w:p w14:paraId="00478019" w14:textId="77777777" w:rsidR="00506342" w:rsidRDefault="00506342" w:rsidP="00E36ADA">
            <w:pPr>
              <w:rPr>
                <w:sz w:val="16"/>
                <w:szCs w:val="16"/>
              </w:rPr>
            </w:pPr>
            <w:r w:rsidRPr="00772732">
              <w:rPr>
                <w:sz w:val="16"/>
                <w:szCs w:val="16"/>
              </w:rPr>
              <w:t xml:space="preserve">Jätteen loppusijoitus erillisenä läjityksenä tai toiminnassa syntyvän muun jätteen sekaan. </w:t>
            </w:r>
          </w:p>
          <w:p w14:paraId="5209F627" w14:textId="77777777" w:rsidR="00506342" w:rsidRDefault="00506342" w:rsidP="00E36ADA">
            <w:pPr>
              <w:rPr>
                <w:sz w:val="16"/>
                <w:szCs w:val="16"/>
              </w:rPr>
            </w:pPr>
          </w:p>
          <w:p w14:paraId="6335236A" w14:textId="77777777" w:rsidR="00506342" w:rsidRDefault="00506342" w:rsidP="00E36ADA">
            <w:pPr>
              <w:rPr>
                <w:sz w:val="16"/>
                <w:szCs w:val="16"/>
              </w:rPr>
            </w:pPr>
            <w:r>
              <w:rPr>
                <w:sz w:val="16"/>
                <w:szCs w:val="16"/>
              </w:rPr>
              <w:t xml:space="preserve">Koskee radioaktiivisia jätteitä ja säteilylain 59 § 3 momentissa tarkoitettuja jätteitä. </w:t>
            </w:r>
          </w:p>
          <w:p w14:paraId="089C7B4B" w14:textId="77777777" w:rsidR="00506342" w:rsidRPr="00772732" w:rsidRDefault="00506342" w:rsidP="00E36ADA">
            <w:pPr>
              <w:rPr>
                <w:sz w:val="16"/>
                <w:szCs w:val="16"/>
              </w:rPr>
            </w:pPr>
          </w:p>
        </w:tc>
      </w:tr>
      <w:tr w:rsidR="00506342" w:rsidRPr="00772732" w14:paraId="23043860" w14:textId="77777777" w:rsidTr="008572AD">
        <w:tc>
          <w:tcPr>
            <w:tcW w:w="0" w:type="auto"/>
            <w:vMerge/>
          </w:tcPr>
          <w:p w14:paraId="0F62AB2B" w14:textId="77777777" w:rsidR="00506342" w:rsidRPr="00772732" w:rsidRDefault="00506342" w:rsidP="00E36ADA">
            <w:pPr>
              <w:rPr>
                <w:sz w:val="16"/>
                <w:szCs w:val="16"/>
              </w:rPr>
            </w:pPr>
          </w:p>
        </w:tc>
        <w:tc>
          <w:tcPr>
            <w:tcW w:w="0" w:type="auto"/>
            <w:gridSpan w:val="3"/>
            <w:tcBorders>
              <w:top w:val="single" w:sz="4" w:space="0" w:color="auto"/>
              <w:right w:val="single" w:sz="4" w:space="0" w:color="auto"/>
            </w:tcBorders>
          </w:tcPr>
          <w:p w14:paraId="574D39E8" w14:textId="77777777" w:rsidR="00506342" w:rsidRPr="00772732" w:rsidRDefault="00506342" w:rsidP="00E36ADA">
            <w:pPr>
              <w:rPr>
                <w:sz w:val="16"/>
                <w:szCs w:val="16"/>
              </w:rPr>
            </w:pPr>
            <w:r w:rsidRPr="00705F05">
              <w:rPr>
                <w:sz w:val="16"/>
                <w:szCs w:val="16"/>
              </w:rPr>
              <w:t>missä M on jätteen massa yksiköissä tonnia, c</w:t>
            </w:r>
            <w:r w:rsidRPr="00705F05">
              <w:rPr>
                <w:sz w:val="16"/>
                <w:szCs w:val="16"/>
                <w:vertAlign w:val="subscript"/>
              </w:rPr>
              <w:t>i</w:t>
            </w:r>
            <w:r w:rsidRPr="00705F05">
              <w:rPr>
                <w:sz w:val="16"/>
                <w:szCs w:val="16"/>
              </w:rPr>
              <w:t xml:space="preserve"> on jätteessä olevan nuklidin i aktiivisuuspitoisuus yksiköissä kBq/kg ja CL</w:t>
            </w:r>
            <w:r w:rsidRPr="00705F05">
              <w:rPr>
                <w:sz w:val="16"/>
                <w:szCs w:val="16"/>
                <w:vertAlign w:val="subscript"/>
              </w:rPr>
              <w:t>i</w:t>
            </w:r>
            <w:r w:rsidRPr="00705F05">
              <w:rPr>
                <w:sz w:val="16"/>
                <w:szCs w:val="16"/>
              </w:rPr>
              <w:t xml:space="preserve"> on nuklidin i vapauttamisraja yksiköissä kBq/kg. Summassa huomioidaan jätteessä olevat nuklidit i.</w:t>
            </w:r>
          </w:p>
        </w:tc>
        <w:tc>
          <w:tcPr>
            <w:tcW w:w="0" w:type="auto"/>
            <w:vMerge/>
            <w:tcBorders>
              <w:right w:val="single" w:sz="4" w:space="0" w:color="auto"/>
            </w:tcBorders>
          </w:tcPr>
          <w:p w14:paraId="48B35658" w14:textId="77777777" w:rsidR="00506342" w:rsidRPr="00772732" w:rsidRDefault="00506342" w:rsidP="00E36ADA">
            <w:pPr>
              <w:rPr>
                <w:sz w:val="16"/>
                <w:szCs w:val="16"/>
              </w:rPr>
            </w:pPr>
          </w:p>
        </w:tc>
      </w:tr>
    </w:tbl>
    <w:p w14:paraId="73F37C82" w14:textId="77777777" w:rsidR="00506342" w:rsidRDefault="00506342" w:rsidP="00506342"/>
    <w:p w14:paraId="1E5055B3" w14:textId="77777777" w:rsidR="00624C57" w:rsidRDefault="00624C57" w:rsidP="00506342">
      <w:pPr>
        <w:sectPr w:rsidR="00624C57" w:rsidSect="00624C57">
          <w:pgSz w:w="16838" w:h="11906" w:orient="landscape" w:code="9"/>
          <w:pgMar w:top="1134" w:right="1134" w:bottom="567" w:left="1701" w:header="709" w:footer="454" w:gutter="0"/>
          <w:cols w:space="708"/>
          <w:docGrid w:linePitch="360"/>
        </w:sectPr>
      </w:pPr>
    </w:p>
    <w:p w14:paraId="5EFC8BEC" w14:textId="016593DA" w:rsidR="00506342" w:rsidRPr="004C360F" w:rsidRDefault="00506342" w:rsidP="00506342"/>
    <w:p w14:paraId="058863C4" w14:textId="5350345C" w:rsidR="00506342" w:rsidRDefault="00506442" w:rsidP="00506442">
      <w:pPr>
        <w:pStyle w:val="Otsikko1"/>
      </w:pPr>
      <w:r>
        <w:t>L</w:t>
      </w:r>
      <w:r w:rsidR="00624C57">
        <w:t>IITE</w:t>
      </w:r>
      <w:r>
        <w:t xml:space="preserve"> </w:t>
      </w:r>
      <w:r w:rsidR="001B2972">
        <w:t>6</w:t>
      </w:r>
    </w:p>
    <w:p w14:paraId="5D65109B" w14:textId="54BD09DA" w:rsidR="00506442" w:rsidRPr="00624C57" w:rsidRDefault="00506442" w:rsidP="00506442">
      <w:pPr>
        <w:rPr>
          <w:rFonts w:ascii="Cambria" w:eastAsia="Cambria" w:hAnsi="Cambria" w:cs="Cambria"/>
          <w:b/>
          <w:caps/>
          <w:sz w:val="28"/>
          <w:szCs w:val="28"/>
        </w:rPr>
      </w:pPr>
      <w:r w:rsidRPr="00624C57">
        <w:rPr>
          <w:b/>
          <w:caps/>
        </w:rPr>
        <w:t>Rajatun röntgentutkimukseen lähettämisen edellyttämä lisäkoulutus</w:t>
      </w:r>
      <w:r w:rsidRPr="00624C57">
        <w:rPr>
          <w:rFonts w:ascii="Cambria" w:eastAsia="Cambria" w:hAnsi="Cambria" w:cs="Cambria"/>
          <w:b/>
          <w:caps/>
          <w:sz w:val="28"/>
          <w:szCs w:val="28"/>
        </w:rPr>
        <w:tab/>
      </w:r>
    </w:p>
    <w:p w14:paraId="093AF310" w14:textId="219377C6" w:rsidR="00506442" w:rsidRPr="008702C0" w:rsidRDefault="00506442" w:rsidP="00506442">
      <w:pPr>
        <w:rPr>
          <w:rFonts w:ascii="Cambria" w:eastAsia="Cambria" w:hAnsi="Cambria" w:cs="Cambria"/>
        </w:rPr>
      </w:pPr>
      <w:r w:rsidRPr="008702C0">
        <w:rPr>
          <w:rFonts w:ascii="Cambria" w:eastAsia="Cambria" w:hAnsi="Cambria" w:cs="Cambria"/>
          <w:b/>
        </w:rPr>
        <w:t xml:space="preserve">Taulukko </w:t>
      </w:r>
      <w:r w:rsidR="00F96D3E">
        <w:rPr>
          <w:rFonts w:ascii="Cambria" w:eastAsia="Cambria" w:hAnsi="Cambria" w:cs="Cambria"/>
          <w:b/>
        </w:rPr>
        <w:t>1.</w:t>
      </w:r>
      <w:r w:rsidRPr="008702C0">
        <w:rPr>
          <w:rFonts w:ascii="Cambria" w:eastAsia="Cambria" w:hAnsi="Cambria" w:cs="Cambria"/>
        </w:rPr>
        <w:t xml:space="preserve"> Rajatun röntgentutkimukseen lähettämisen edellyttämä lisäkoulutus sairaanhoitajalle ja suuhygienistille.</w:t>
      </w:r>
    </w:p>
    <w:tbl>
      <w:tblPr>
        <w:tblStyle w:val="TaulukkoRuudukko"/>
        <w:tblW w:w="0" w:type="auto"/>
        <w:tblLayout w:type="fixed"/>
        <w:tblLook w:val="04A0" w:firstRow="1" w:lastRow="0" w:firstColumn="1" w:lastColumn="0" w:noHBand="0" w:noVBand="1"/>
      </w:tblPr>
      <w:tblGrid>
        <w:gridCol w:w="3554"/>
        <w:gridCol w:w="3217"/>
        <w:gridCol w:w="3260"/>
      </w:tblGrid>
      <w:tr w:rsidR="00506442" w:rsidRPr="008702C0" w14:paraId="29FB4627" w14:textId="77777777" w:rsidTr="007F696F">
        <w:tc>
          <w:tcPr>
            <w:tcW w:w="3554" w:type="dxa"/>
            <w:hideMark/>
          </w:tcPr>
          <w:p w14:paraId="358B5DBE" w14:textId="77777777" w:rsidR="00506442" w:rsidRPr="008702C0" w:rsidRDefault="00506442" w:rsidP="00865F79">
            <w:pPr>
              <w:rPr>
                <w:rFonts w:eastAsia="Times New Roman"/>
                <w:sz w:val="24"/>
                <w:szCs w:val="24"/>
                <w:lang w:eastAsia="fi-FI"/>
              </w:rPr>
            </w:pPr>
            <w:r w:rsidRPr="008702C0">
              <w:rPr>
                <w:rFonts w:eastAsia="Times New Roman"/>
                <w:sz w:val="24"/>
                <w:szCs w:val="24"/>
                <w:lang w:eastAsia="fi-FI"/>
              </w:rPr>
              <w:t>PERUSTUTKINTO</w:t>
            </w:r>
          </w:p>
        </w:tc>
        <w:tc>
          <w:tcPr>
            <w:tcW w:w="3217" w:type="dxa"/>
            <w:hideMark/>
          </w:tcPr>
          <w:p w14:paraId="3E980CF4" w14:textId="77777777" w:rsidR="00506442" w:rsidRPr="00DA7D29" w:rsidRDefault="00506442" w:rsidP="00865F79">
            <w:pPr>
              <w:ind w:left="175"/>
              <w:contextualSpacing/>
              <w:rPr>
                <w:rFonts w:eastAsia="Times New Roman"/>
                <w:b/>
                <w:lang w:eastAsia="fi-FI"/>
              </w:rPr>
            </w:pPr>
            <w:r w:rsidRPr="00DA7D29">
              <w:rPr>
                <w:rFonts w:eastAsia="Times New Roman"/>
                <w:b/>
                <w:lang w:eastAsia="fi-FI"/>
              </w:rPr>
              <w:t>Sairaanhoitaja</w:t>
            </w:r>
          </w:p>
        </w:tc>
        <w:tc>
          <w:tcPr>
            <w:tcW w:w="3260" w:type="dxa"/>
            <w:hideMark/>
          </w:tcPr>
          <w:p w14:paraId="6A35B8B1" w14:textId="77777777" w:rsidR="00506442" w:rsidRPr="00DA7D29" w:rsidRDefault="00506442" w:rsidP="00865F79">
            <w:pPr>
              <w:ind w:left="175"/>
              <w:contextualSpacing/>
              <w:rPr>
                <w:rFonts w:eastAsia="Times New Roman"/>
                <w:b/>
                <w:lang w:eastAsia="fi-FI"/>
              </w:rPr>
            </w:pPr>
            <w:r w:rsidRPr="00DA7D29">
              <w:rPr>
                <w:rFonts w:eastAsia="Times New Roman"/>
                <w:b/>
                <w:lang w:eastAsia="fi-FI"/>
              </w:rPr>
              <w:t>Suuhygienisti</w:t>
            </w:r>
          </w:p>
        </w:tc>
      </w:tr>
      <w:tr w:rsidR="00506442" w:rsidRPr="008702C0" w14:paraId="7C5234FA" w14:textId="77777777" w:rsidTr="007F696F">
        <w:tc>
          <w:tcPr>
            <w:tcW w:w="3554" w:type="dxa"/>
            <w:hideMark/>
          </w:tcPr>
          <w:p w14:paraId="4800F217" w14:textId="77777777" w:rsidR="00506442" w:rsidRPr="008702C0" w:rsidRDefault="00506442" w:rsidP="00865F79">
            <w:pPr>
              <w:rPr>
                <w:rFonts w:cs="Cambria"/>
                <w:sz w:val="24"/>
                <w:szCs w:val="24"/>
              </w:rPr>
            </w:pPr>
            <w:r w:rsidRPr="008702C0">
              <w:rPr>
                <w:rFonts w:cs="Cambria"/>
                <w:sz w:val="24"/>
                <w:szCs w:val="24"/>
              </w:rPr>
              <w:t xml:space="preserve">OSAAMISEN  TASO </w:t>
            </w:r>
          </w:p>
        </w:tc>
        <w:tc>
          <w:tcPr>
            <w:tcW w:w="3217" w:type="dxa"/>
            <w:hideMark/>
          </w:tcPr>
          <w:p w14:paraId="0780DCBB" w14:textId="77777777" w:rsidR="007F696F" w:rsidRPr="00284422" w:rsidRDefault="007F696F" w:rsidP="000B2864">
            <w:pPr>
              <w:pStyle w:val="Luettelokappale"/>
              <w:numPr>
                <w:ilvl w:val="0"/>
                <w:numId w:val="44"/>
              </w:numPr>
              <w:ind w:left="176" w:hanging="119"/>
              <w:rPr>
                <w:rFonts w:eastAsia="Times New Roman" w:cs="Times New Roman"/>
                <w:b/>
                <w:bCs/>
                <w:i/>
                <w:lang w:eastAsia="fi-FI"/>
              </w:rPr>
            </w:pPr>
            <w:r w:rsidRPr="00284422">
              <w:rPr>
                <w:rFonts w:ascii="Times New Roman" w:eastAsia="Times New Roman" w:hAnsi="Times New Roman" w:cs="Times New Roman"/>
                <w:bCs/>
                <w:lang w:eastAsia="fi-FI"/>
              </w:rPr>
              <w:t>Pitkälle erikoistuneet</w:t>
            </w:r>
            <w:r>
              <w:rPr>
                <w:rFonts w:ascii="Times New Roman" w:eastAsia="Times New Roman" w:hAnsi="Times New Roman" w:cs="Times New Roman"/>
                <w:bCs/>
                <w:lang w:eastAsia="fi-FI"/>
              </w:rPr>
              <w:t xml:space="preserve"> osittain pätevyysalan huippuosaamista vastaavat</w:t>
            </w:r>
            <w:r w:rsidRPr="00284422">
              <w:rPr>
                <w:rFonts w:ascii="Times New Roman" w:eastAsia="Times New Roman" w:hAnsi="Times New Roman" w:cs="Times New Roman"/>
                <w:bCs/>
                <w:lang w:eastAsia="fi-FI"/>
              </w:rPr>
              <w:t xml:space="preserve"> tiedot, joita käytetään itsenäisen ajattelun perustana</w:t>
            </w:r>
          </w:p>
          <w:p w14:paraId="75A0B67D" w14:textId="77777777" w:rsidR="007F696F" w:rsidRPr="00284422" w:rsidRDefault="007F696F" w:rsidP="000B2864">
            <w:pPr>
              <w:pStyle w:val="Luettelokappale"/>
              <w:numPr>
                <w:ilvl w:val="0"/>
                <w:numId w:val="44"/>
              </w:numPr>
              <w:ind w:left="176" w:hanging="119"/>
              <w:rPr>
                <w:rFonts w:eastAsia="Times New Roman" w:cs="Times New Roman"/>
                <w:b/>
                <w:bCs/>
                <w:i/>
                <w:lang w:eastAsia="fi-FI"/>
              </w:rPr>
            </w:pPr>
            <w:r>
              <w:rPr>
                <w:rFonts w:ascii="Times New Roman" w:eastAsia="Times New Roman" w:hAnsi="Times New Roman" w:cs="Times New Roman"/>
                <w:bCs/>
                <w:lang w:eastAsia="fi-FI"/>
              </w:rPr>
              <w:t>Pätevyysalan ja eri -alojen rajapintojen tietoihin liittyvien kysymysten kriittinen ymmärtäminen</w:t>
            </w:r>
          </w:p>
          <w:p w14:paraId="3185E155" w14:textId="77777777" w:rsidR="007F696F" w:rsidRPr="00284422" w:rsidRDefault="007F696F" w:rsidP="000B2864">
            <w:pPr>
              <w:pStyle w:val="Luettelokappale"/>
              <w:numPr>
                <w:ilvl w:val="0"/>
                <w:numId w:val="44"/>
              </w:numPr>
              <w:ind w:left="176" w:hanging="119"/>
              <w:rPr>
                <w:rFonts w:eastAsia="Times New Roman" w:cs="Times New Roman"/>
                <w:b/>
                <w:bCs/>
                <w:i/>
                <w:lang w:eastAsia="fi-FI"/>
              </w:rPr>
            </w:pPr>
            <w:r>
              <w:rPr>
                <w:rFonts w:ascii="Times New Roman" w:eastAsia="Times New Roman" w:hAnsi="Times New Roman" w:cs="Times New Roman"/>
                <w:bCs/>
                <w:lang w:eastAsia="fi-FI"/>
              </w:rPr>
              <w:t>Erikoistuneet ongelmanratkaisutaidot, joita vaaditaan uusien tietojen ja menettelyjen kehittämiseen ja eri alojen tietojen yhdistämiseen.</w:t>
            </w:r>
          </w:p>
          <w:p w14:paraId="6C018B29" w14:textId="77777777" w:rsidR="007F696F" w:rsidRPr="007F696F" w:rsidRDefault="007F696F" w:rsidP="000B2864">
            <w:pPr>
              <w:pStyle w:val="Luettelokappale"/>
              <w:numPr>
                <w:ilvl w:val="0"/>
                <w:numId w:val="45"/>
              </w:numPr>
              <w:ind w:left="176" w:hanging="142"/>
              <w:rPr>
                <w:rFonts w:eastAsia="Times New Roman" w:cs="Times New Roman"/>
                <w:b/>
                <w:bCs/>
                <w:i/>
                <w:lang w:eastAsia="fi-FI"/>
              </w:rPr>
            </w:pPr>
            <w:r>
              <w:rPr>
                <w:rFonts w:ascii="Times New Roman" w:eastAsia="Times New Roman" w:hAnsi="Times New Roman" w:cs="Times New Roman"/>
                <w:bCs/>
                <w:lang w:eastAsia="fi-FI"/>
              </w:rPr>
              <w:t>Monimutkaisten ennakoimattomien ja uusia strategisia lähestymistapoja vaativien pätevyysalan säteilyturvallisuustoimenpiteiden johtaminen ja muuttaminen</w:t>
            </w:r>
          </w:p>
          <w:p w14:paraId="67543DD6" w14:textId="124488AD" w:rsidR="00506442" w:rsidRPr="007F696F" w:rsidRDefault="007F696F" w:rsidP="000B2864">
            <w:pPr>
              <w:pStyle w:val="Luettelokappale"/>
              <w:numPr>
                <w:ilvl w:val="0"/>
                <w:numId w:val="45"/>
              </w:numPr>
              <w:ind w:left="176" w:hanging="142"/>
              <w:rPr>
                <w:rFonts w:eastAsia="Times New Roman" w:cs="Times New Roman"/>
                <w:b/>
                <w:bCs/>
                <w:i/>
                <w:lang w:eastAsia="fi-FI"/>
              </w:rPr>
            </w:pPr>
            <w:r w:rsidRPr="007F696F">
              <w:rPr>
                <w:rFonts w:ascii="Times New Roman" w:eastAsia="Times New Roman" w:hAnsi="Times New Roman" w:cs="Times New Roman"/>
                <w:bCs/>
                <w:lang w:eastAsia="fi-FI"/>
              </w:rPr>
              <w:t>Vastuun ottaminen pätevyysalan tietojen ja käytäntöjen kartuttamisesta</w:t>
            </w:r>
            <w:r w:rsidRPr="007F696F">
              <w:rPr>
                <w:rFonts w:ascii="Times New Roman" w:eastAsia="Times New Roman" w:hAnsi="Times New Roman" w:cs="Times New Roman"/>
                <w:b/>
                <w:bCs/>
                <w:lang w:eastAsia="fi-FI"/>
              </w:rPr>
              <w:t xml:space="preserve"> </w:t>
            </w:r>
          </w:p>
        </w:tc>
        <w:tc>
          <w:tcPr>
            <w:tcW w:w="3260" w:type="dxa"/>
            <w:hideMark/>
          </w:tcPr>
          <w:p w14:paraId="7ACA8D69" w14:textId="77777777" w:rsidR="007F696F" w:rsidRPr="00284422" w:rsidRDefault="007F696F" w:rsidP="000B2864">
            <w:pPr>
              <w:pStyle w:val="Luettelokappale"/>
              <w:numPr>
                <w:ilvl w:val="0"/>
                <w:numId w:val="44"/>
              </w:numPr>
              <w:ind w:left="176" w:hanging="119"/>
              <w:rPr>
                <w:rFonts w:eastAsia="Times New Roman" w:cs="Times New Roman"/>
                <w:b/>
                <w:bCs/>
                <w:i/>
                <w:lang w:eastAsia="fi-FI"/>
              </w:rPr>
            </w:pPr>
            <w:r w:rsidRPr="00284422">
              <w:rPr>
                <w:rFonts w:ascii="Times New Roman" w:eastAsia="Times New Roman" w:hAnsi="Times New Roman" w:cs="Times New Roman"/>
                <w:bCs/>
                <w:lang w:eastAsia="fi-FI"/>
              </w:rPr>
              <w:t>Pitkälle erikoistuneet</w:t>
            </w:r>
            <w:r>
              <w:rPr>
                <w:rFonts w:ascii="Times New Roman" w:eastAsia="Times New Roman" w:hAnsi="Times New Roman" w:cs="Times New Roman"/>
                <w:bCs/>
                <w:lang w:eastAsia="fi-FI"/>
              </w:rPr>
              <w:t xml:space="preserve"> osittain pätevyysalan huippuosaamista vastaavat</w:t>
            </w:r>
            <w:r w:rsidRPr="00284422">
              <w:rPr>
                <w:rFonts w:ascii="Times New Roman" w:eastAsia="Times New Roman" w:hAnsi="Times New Roman" w:cs="Times New Roman"/>
                <w:bCs/>
                <w:lang w:eastAsia="fi-FI"/>
              </w:rPr>
              <w:t xml:space="preserve"> tiedot, joita käytetään itsenäisen ajattelun perustana</w:t>
            </w:r>
          </w:p>
          <w:p w14:paraId="479FF32C" w14:textId="77777777" w:rsidR="007F696F" w:rsidRPr="00284422" w:rsidRDefault="007F696F" w:rsidP="000B2864">
            <w:pPr>
              <w:pStyle w:val="Luettelokappale"/>
              <w:numPr>
                <w:ilvl w:val="0"/>
                <w:numId w:val="44"/>
              </w:numPr>
              <w:ind w:left="176" w:hanging="119"/>
              <w:rPr>
                <w:rFonts w:eastAsia="Times New Roman" w:cs="Times New Roman"/>
                <w:b/>
                <w:bCs/>
                <w:i/>
                <w:lang w:eastAsia="fi-FI"/>
              </w:rPr>
            </w:pPr>
            <w:r>
              <w:rPr>
                <w:rFonts w:ascii="Times New Roman" w:eastAsia="Times New Roman" w:hAnsi="Times New Roman" w:cs="Times New Roman"/>
                <w:bCs/>
                <w:lang w:eastAsia="fi-FI"/>
              </w:rPr>
              <w:t>Pätevyysalan ja eri -alojen rajapintojen tietoihin liittyvien kysymysten kriittinen ymmärtäminen</w:t>
            </w:r>
          </w:p>
          <w:p w14:paraId="5E40CCC1" w14:textId="77777777" w:rsidR="007F696F" w:rsidRPr="00284422" w:rsidRDefault="007F696F" w:rsidP="000B2864">
            <w:pPr>
              <w:pStyle w:val="Luettelokappale"/>
              <w:numPr>
                <w:ilvl w:val="0"/>
                <w:numId w:val="44"/>
              </w:numPr>
              <w:ind w:left="176" w:hanging="119"/>
              <w:rPr>
                <w:rFonts w:eastAsia="Times New Roman" w:cs="Times New Roman"/>
                <w:b/>
                <w:bCs/>
                <w:i/>
                <w:lang w:eastAsia="fi-FI"/>
              </w:rPr>
            </w:pPr>
            <w:r>
              <w:rPr>
                <w:rFonts w:ascii="Times New Roman" w:eastAsia="Times New Roman" w:hAnsi="Times New Roman" w:cs="Times New Roman"/>
                <w:bCs/>
                <w:lang w:eastAsia="fi-FI"/>
              </w:rPr>
              <w:t>Erikoistuneet ongelmanratkaisutaidot, joita vaaditaan uusien tietojen ja menettelyjen kehittämiseen ja eri alojen tietojen yhdistämiseen.</w:t>
            </w:r>
          </w:p>
          <w:p w14:paraId="5BF8997F" w14:textId="77777777" w:rsidR="007F696F" w:rsidRPr="007F696F" w:rsidRDefault="007F696F" w:rsidP="000B2864">
            <w:pPr>
              <w:pStyle w:val="Luettelokappale"/>
              <w:numPr>
                <w:ilvl w:val="0"/>
                <w:numId w:val="45"/>
              </w:numPr>
              <w:ind w:left="176" w:hanging="142"/>
              <w:rPr>
                <w:rFonts w:eastAsia="Times New Roman" w:cs="Times New Roman"/>
                <w:b/>
                <w:bCs/>
                <w:i/>
                <w:lang w:eastAsia="fi-FI"/>
              </w:rPr>
            </w:pPr>
            <w:r>
              <w:rPr>
                <w:rFonts w:ascii="Times New Roman" w:eastAsia="Times New Roman" w:hAnsi="Times New Roman" w:cs="Times New Roman"/>
                <w:bCs/>
                <w:lang w:eastAsia="fi-FI"/>
              </w:rPr>
              <w:t>Monimutkaisten ennakoimattomien ja uusia strategisia lähestymistapoja vaativien pätevyysalan säteilyturvallisuustoimenpiteiden johtaminen ja muuttaminen</w:t>
            </w:r>
          </w:p>
          <w:p w14:paraId="25D520A6" w14:textId="6B258403" w:rsidR="00506442" w:rsidRPr="007F696F" w:rsidRDefault="007F696F" w:rsidP="000B2864">
            <w:pPr>
              <w:pStyle w:val="Luettelokappale"/>
              <w:numPr>
                <w:ilvl w:val="0"/>
                <w:numId w:val="45"/>
              </w:numPr>
              <w:ind w:left="176" w:hanging="142"/>
              <w:rPr>
                <w:rFonts w:eastAsia="Times New Roman" w:cs="Times New Roman"/>
                <w:b/>
                <w:bCs/>
                <w:i/>
                <w:lang w:eastAsia="fi-FI"/>
              </w:rPr>
            </w:pPr>
            <w:r w:rsidRPr="007F696F">
              <w:rPr>
                <w:rFonts w:ascii="Times New Roman" w:eastAsia="Times New Roman" w:hAnsi="Times New Roman" w:cs="Times New Roman"/>
                <w:bCs/>
                <w:lang w:eastAsia="fi-FI"/>
              </w:rPr>
              <w:t>Vastuun ottaminen pätevyysalan tietojen ja käytäntöjen kartuttamisesta</w:t>
            </w:r>
            <w:r w:rsidRPr="007F696F">
              <w:rPr>
                <w:rFonts w:ascii="Times New Roman" w:eastAsia="Times New Roman" w:hAnsi="Times New Roman" w:cs="Times New Roman"/>
                <w:b/>
                <w:bCs/>
                <w:lang w:eastAsia="fi-FI"/>
              </w:rPr>
              <w:t xml:space="preserve"> </w:t>
            </w:r>
          </w:p>
        </w:tc>
      </w:tr>
      <w:tr w:rsidR="00506442" w:rsidRPr="008702C0" w14:paraId="2AA92393" w14:textId="77777777" w:rsidTr="00F96D3E">
        <w:tc>
          <w:tcPr>
            <w:tcW w:w="3554" w:type="dxa"/>
            <w:hideMark/>
          </w:tcPr>
          <w:p w14:paraId="78C74F41" w14:textId="77777777" w:rsidR="00506442" w:rsidRPr="008702C0" w:rsidRDefault="00506442" w:rsidP="00865F79">
            <w:pPr>
              <w:rPr>
                <w:rFonts w:cs="Cambria"/>
                <w:sz w:val="24"/>
                <w:szCs w:val="24"/>
              </w:rPr>
            </w:pPr>
            <w:r w:rsidRPr="008702C0">
              <w:rPr>
                <w:rFonts w:cs="Cambria"/>
                <w:sz w:val="24"/>
                <w:szCs w:val="24"/>
              </w:rPr>
              <w:t>OSAAMISTAVOITTEET</w:t>
            </w:r>
          </w:p>
          <w:p w14:paraId="11387B29" w14:textId="77777777" w:rsidR="00506442" w:rsidRPr="008702C0" w:rsidRDefault="00506442" w:rsidP="00624C57">
            <w:pPr>
              <w:numPr>
                <w:ilvl w:val="0"/>
                <w:numId w:val="18"/>
              </w:numPr>
              <w:ind w:left="426" w:hanging="426"/>
              <w:contextualSpacing/>
              <w:rPr>
                <w:rFonts w:cs="Cambria"/>
                <w:i/>
              </w:rPr>
            </w:pPr>
            <w:r w:rsidRPr="008702C0">
              <w:rPr>
                <w:rFonts w:eastAsia="Times New Roman"/>
                <w:i/>
                <w:lang w:eastAsia="fi-FI"/>
              </w:rPr>
              <w:t>Röntgenlähetteen juridinen, eettinen ja lääketieteellinen tietoperusta: säädökset, lait ym.</w:t>
            </w:r>
          </w:p>
        </w:tc>
        <w:tc>
          <w:tcPr>
            <w:tcW w:w="6477" w:type="dxa"/>
            <w:gridSpan w:val="2"/>
            <w:vMerge w:val="restart"/>
            <w:hideMark/>
          </w:tcPr>
          <w:p w14:paraId="3ED981D3" w14:textId="736F053D" w:rsidR="00506442" w:rsidRPr="005E582E" w:rsidRDefault="00506442" w:rsidP="00624C57">
            <w:pPr>
              <w:numPr>
                <w:ilvl w:val="0"/>
                <w:numId w:val="19"/>
              </w:numPr>
              <w:contextualSpacing/>
              <w:jc w:val="both"/>
              <w:rPr>
                <w:rFonts w:eastAsia="Calibri" w:cs="Calibri"/>
                <w:lang w:eastAsia="fi-FI"/>
              </w:rPr>
            </w:pPr>
            <w:r w:rsidRPr="005E582E">
              <w:rPr>
                <w:rFonts w:eastAsia="Calibri" w:cs="Calibri"/>
                <w:lang w:eastAsia="fi-FI"/>
              </w:rPr>
              <w:t>Tuntee omaan ammattitoimintaansa, potilaan hoitamiseen ja kuvantamistutkimuksiin lähettämiseen liittyvät säädökset</w:t>
            </w:r>
            <w:r w:rsidR="00635101">
              <w:rPr>
                <w:rFonts w:eastAsia="Calibri" w:cs="Calibri"/>
                <w:lang w:eastAsia="fi-FI"/>
              </w:rPr>
              <w:t>;</w:t>
            </w:r>
          </w:p>
          <w:p w14:paraId="395662C1" w14:textId="0528D7FF" w:rsidR="00506442" w:rsidRPr="005E582E" w:rsidRDefault="00506442" w:rsidP="00624C57">
            <w:pPr>
              <w:numPr>
                <w:ilvl w:val="0"/>
                <w:numId w:val="20"/>
              </w:numPr>
              <w:contextualSpacing/>
              <w:jc w:val="both"/>
              <w:rPr>
                <w:rFonts w:eastAsia="Calibri" w:cs="Calibri"/>
                <w:lang w:eastAsia="fi-FI"/>
              </w:rPr>
            </w:pPr>
            <w:r w:rsidRPr="005E582E">
              <w:rPr>
                <w:rFonts w:eastAsia="Calibri" w:cs="Calibri"/>
                <w:lang w:eastAsia="fi-FI"/>
              </w:rPr>
              <w:t>Osaa soveltaa edistyneitä tietojaan anatomiasta, fysiologiasta ja patofysiologiasta kirjoittaessaan lähetteen kuvantamistutkimukseen</w:t>
            </w:r>
            <w:r w:rsidR="00635101">
              <w:rPr>
                <w:rFonts w:eastAsia="Calibri" w:cs="Calibri"/>
                <w:lang w:eastAsia="fi-FI"/>
              </w:rPr>
              <w:t>;</w:t>
            </w:r>
            <w:r w:rsidRPr="005E582E">
              <w:rPr>
                <w:rFonts w:eastAsia="Calibri" w:cs="Calibri"/>
                <w:lang w:eastAsia="fi-FI"/>
              </w:rPr>
              <w:t xml:space="preserve"> </w:t>
            </w:r>
          </w:p>
          <w:p w14:paraId="42175D8E" w14:textId="52C66E1D" w:rsidR="00506442" w:rsidRPr="005E582E" w:rsidRDefault="00506442" w:rsidP="00624C57">
            <w:pPr>
              <w:numPr>
                <w:ilvl w:val="0"/>
                <w:numId w:val="20"/>
              </w:numPr>
              <w:contextualSpacing/>
              <w:jc w:val="both"/>
              <w:rPr>
                <w:rFonts w:eastAsia="Calibri" w:cs="Calibri"/>
                <w:lang w:eastAsia="fi-FI"/>
              </w:rPr>
            </w:pPr>
            <w:r w:rsidRPr="005E582E">
              <w:rPr>
                <w:rFonts w:eastAsia="Calibri" w:cs="Calibri"/>
                <w:lang w:eastAsia="fi-FI"/>
              </w:rPr>
              <w:t xml:space="preserve">Tuntee kuvantamismenetelmät ja </w:t>
            </w:r>
            <w:r w:rsidR="00635101">
              <w:rPr>
                <w:rFonts w:eastAsia="Calibri" w:cs="Calibri"/>
                <w:lang w:eastAsia="fi-FI"/>
              </w:rPr>
              <w:t>–</w:t>
            </w:r>
            <w:r w:rsidRPr="005E582E">
              <w:rPr>
                <w:rFonts w:eastAsia="Calibri" w:cs="Calibri"/>
                <w:lang w:eastAsia="fi-FI"/>
              </w:rPr>
              <w:t>indikaatiot</w:t>
            </w:r>
            <w:r w:rsidR="00635101">
              <w:rPr>
                <w:rFonts w:eastAsia="Calibri" w:cs="Calibri"/>
                <w:lang w:eastAsia="fi-FI"/>
              </w:rPr>
              <w:t>;</w:t>
            </w:r>
          </w:p>
          <w:p w14:paraId="156CE974" w14:textId="217B3052" w:rsidR="00506442" w:rsidRPr="007F696F" w:rsidRDefault="00506442" w:rsidP="00624C57">
            <w:pPr>
              <w:pStyle w:val="Luettelokappale"/>
              <w:numPr>
                <w:ilvl w:val="0"/>
                <w:numId w:val="20"/>
              </w:numPr>
              <w:jc w:val="both"/>
              <w:rPr>
                <w:rFonts w:eastAsia="Times New Roman"/>
                <w:lang w:eastAsia="fi-FI"/>
              </w:rPr>
            </w:pPr>
            <w:r w:rsidRPr="005E582E">
              <w:rPr>
                <w:rFonts w:eastAsia="Calibri" w:cs="Calibri"/>
                <w:lang w:eastAsia="fi-FI"/>
              </w:rPr>
              <w:t xml:space="preserve">Osaa </w:t>
            </w:r>
            <w:r>
              <w:rPr>
                <w:rFonts w:eastAsia="Calibri" w:cs="Calibri"/>
                <w:lang w:eastAsia="fi-FI"/>
              </w:rPr>
              <w:t>kirjata esitiedot (anamneesin)</w:t>
            </w:r>
            <w:r w:rsidRPr="005E582E">
              <w:rPr>
                <w:rFonts w:eastAsia="Calibri" w:cs="Calibri"/>
                <w:lang w:eastAsia="fi-FI"/>
              </w:rPr>
              <w:t xml:space="preserve"> ja tutkia potilaan kliinisesti sekä hankkia</w:t>
            </w:r>
            <w:r w:rsidRPr="005E582E">
              <w:rPr>
                <w:rFonts w:eastAsia="Times New Roman"/>
                <w:lang w:eastAsia="fi-FI"/>
              </w:rPr>
              <w:t xml:space="preserve"> olennaisen tiedon aikaisemmista tutkimuksista, toimenpiteistä ja hoidoista </w:t>
            </w:r>
            <w:r w:rsidRPr="007F696F">
              <w:rPr>
                <w:rFonts w:eastAsia="Calibri" w:cs="Calibri"/>
                <w:lang w:eastAsia="fi-FI"/>
              </w:rPr>
              <w:t xml:space="preserve">säteilylain </w:t>
            </w:r>
            <w:r w:rsidR="007F696F" w:rsidRPr="007F696F">
              <w:rPr>
                <w:rFonts w:eastAsia="Calibri" w:cs="Calibri"/>
                <w:lang w:eastAsia="fi-FI"/>
              </w:rPr>
              <w:t>110</w:t>
            </w:r>
            <w:r w:rsidRPr="007F696F">
              <w:rPr>
                <w:rFonts w:eastAsia="Calibri" w:cs="Calibri"/>
                <w:lang w:eastAsia="fi-FI"/>
              </w:rPr>
              <w:t xml:space="preserve"> §:ssä tarkoitetuissa tilanteissa</w:t>
            </w:r>
            <w:r w:rsidR="00635101">
              <w:rPr>
                <w:rFonts w:eastAsia="Calibri" w:cs="Calibri"/>
                <w:lang w:eastAsia="fi-FI"/>
              </w:rPr>
              <w:t>;</w:t>
            </w:r>
            <w:r w:rsidRPr="007F696F">
              <w:rPr>
                <w:rFonts w:eastAsia="Calibri" w:cs="Calibri"/>
                <w:lang w:eastAsia="fi-FI"/>
              </w:rPr>
              <w:t xml:space="preserve"> </w:t>
            </w:r>
          </w:p>
          <w:p w14:paraId="0E44CAF4" w14:textId="1DB29AF5" w:rsidR="00506442" w:rsidRPr="005E582E" w:rsidRDefault="00506442" w:rsidP="00624C57">
            <w:pPr>
              <w:numPr>
                <w:ilvl w:val="0"/>
                <w:numId w:val="20"/>
              </w:numPr>
              <w:contextualSpacing/>
              <w:jc w:val="both"/>
              <w:rPr>
                <w:rFonts w:eastAsia="Calibri" w:cs="Calibri"/>
                <w:lang w:eastAsia="fi-FI"/>
              </w:rPr>
            </w:pPr>
            <w:r>
              <w:rPr>
                <w:rFonts w:eastAsia="Calibri" w:cs="Calibri"/>
                <w:lang w:eastAsia="fi-FI"/>
              </w:rPr>
              <w:t>Osaa d</w:t>
            </w:r>
            <w:r w:rsidRPr="005E582E">
              <w:rPr>
                <w:rFonts w:eastAsia="Calibri" w:cs="Calibri"/>
                <w:lang w:eastAsia="fi-FI"/>
              </w:rPr>
              <w:t>okumentoi</w:t>
            </w:r>
            <w:r>
              <w:rPr>
                <w:rFonts w:eastAsia="Calibri" w:cs="Calibri"/>
                <w:lang w:eastAsia="fi-FI"/>
              </w:rPr>
              <w:t>da</w:t>
            </w:r>
            <w:r w:rsidRPr="005E582E">
              <w:rPr>
                <w:rFonts w:eastAsia="Calibri" w:cs="Calibri"/>
                <w:lang w:eastAsia="fi-FI"/>
              </w:rPr>
              <w:t xml:space="preserve"> päätöksenteon perustana olevan anamneesin ja kliiniset löydökset</w:t>
            </w:r>
            <w:r w:rsidR="00635101">
              <w:rPr>
                <w:rFonts w:eastAsia="Calibri" w:cs="Calibri"/>
                <w:lang w:eastAsia="fi-FI"/>
              </w:rPr>
              <w:t>;</w:t>
            </w:r>
          </w:p>
          <w:p w14:paraId="002AB4E2" w14:textId="02EA2BA4" w:rsidR="00506442" w:rsidRPr="005E582E" w:rsidRDefault="00506442" w:rsidP="00624C57">
            <w:pPr>
              <w:numPr>
                <w:ilvl w:val="0"/>
                <w:numId w:val="21"/>
              </w:numPr>
              <w:contextualSpacing/>
              <w:jc w:val="both"/>
              <w:rPr>
                <w:rFonts w:eastAsia="Calibri" w:cs="Calibri"/>
                <w:lang w:eastAsia="fi-FI"/>
              </w:rPr>
            </w:pPr>
            <w:r>
              <w:rPr>
                <w:rFonts w:eastAsia="Calibri" w:cs="Calibri"/>
                <w:lang w:eastAsia="fi-FI"/>
              </w:rPr>
              <w:t>Osaa toimia t</w:t>
            </w:r>
            <w:r w:rsidRPr="005E582E">
              <w:rPr>
                <w:rFonts w:eastAsia="Calibri" w:cs="Calibri"/>
                <w:lang w:eastAsia="fi-FI"/>
              </w:rPr>
              <w:t>ehtäväalueellaan näyttöön perustuvien hoitosuosituksien ja -käytänteiden mukai</w:t>
            </w:r>
            <w:r w:rsidRPr="005E582E">
              <w:rPr>
                <w:rFonts w:eastAsia="Calibri" w:cs="Calibri"/>
                <w:lang w:eastAsia="fi-FI"/>
              </w:rPr>
              <w:softHyphen/>
              <w:t>sesti</w:t>
            </w:r>
            <w:r w:rsidR="00635101">
              <w:rPr>
                <w:rFonts w:eastAsia="Calibri" w:cs="Calibri"/>
                <w:lang w:eastAsia="fi-FI"/>
              </w:rPr>
              <w:t>;</w:t>
            </w:r>
          </w:p>
          <w:p w14:paraId="0169E519" w14:textId="660C7DC3" w:rsidR="00506442" w:rsidRPr="005E582E" w:rsidRDefault="00506442" w:rsidP="00624C57">
            <w:pPr>
              <w:numPr>
                <w:ilvl w:val="0"/>
                <w:numId w:val="21"/>
              </w:numPr>
              <w:contextualSpacing/>
              <w:jc w:val="both"/>
              <w:rPr>
                <w:rFonts w:eastAsia="Calibri" w:cs="Calibri"/>
                <w:lang w:eastAsia="fi-FI"/>
              </w:rPr>
            </w:pPr>
            <w:r w:rsidRPr="005E582E">
              <w:rPr>
                <w:rFonts w:eastAsia="Calibri" w:cs="Calibri"/>
                <w:lang w:eastAsia="fi-FI"/>
              </w:rPr>
              <w:t>Tunnistaa oman osaamisensa rajoitukset ja konsultoi muita ammattiryhmiä tarvittaessa</w:t>
            </w:r>
            <w:r w:rsidR="00635101">
              <w:rPr>
                <w:rFonts w:eastAsia="Calibri" w:cs="Calibri"/>
                <w:lang w:eastAsia="fi-FI"/>
              </w:rPr>
              <w:t>;</w:t>
            </w:r>
          </w:p>
          <w:p w14:paraId="56869CE4" w14:textId="71DA6321" w:rsidR="00506442" w:rsidRPr="005E582E" w:rsidRDefault="00506442" w:rsidP="00624C57">
            <w:pPr>
              <w:numPr>
                <w:ilvl w:val="0"/>
                <w:numId w:val="22"/>
              </w:numPr>
              <w:contextualSpacing/>
              <w:jc w:val="both"/>
              <w:rPr>
                <w:rFonts w:eastAsia="Calibri" w:cs="Calibri"/>
                <w:lang w:eastAsia="fi-FI"/>
              </w:rPr>
            </w:pPr>
            <w:r>
              <w:rPr>
                <w:rFonts w:eastAsia="Calibri" w:cs="Calibri"/>
                <w:lang w:eastAsia="fi-FI"/>
              </w:rPr>
              <w:t xml:space="preserve">Osaa arvioida </w:t>
            </w:r>
            <w:r w:rsidRPr="005E582E">
              <w:rPr>
                <w:rFonts w:eastAsia="Calibri" w:cs="Calibri"/>
                <w:lang w:eastAsia="fi-FI"/>
              </w:rPr>
              <w:t>potilaan terveydentilaa ja hoidon kiireellisyyttä ja niihin liittyvää kuvantamistutki</w:t>
            </w:r>
            <w:r w:rsidRPr="005E582E">
              <w:rPr>
                <w:rFonts w:eastAsia="Calibri" w:cs="Calibri"/>
                <w:lang w:eastAsia="fi-FI"/>
              </w:rPr>
              <w:softHyphen/>
              <w:t>musten tarvetta</w:t>
            </w:r>
            <w:r>
              <w:rPr>
                <w:rFonts w:eastAsia="Calibri" w:cs="Calibri"/>
                <w:lang w:eastAsia="fi-FI"/>
              </w:rPr>
              <w:t xml:space="preserve"> ja oikeutusta</w:t>
            </w:r>
            <w:r w:rsidRPr="005E582E">
              <w:rPr>
                <w:rFonts w:eastAsia="Calibri" w:cs="Calibri"/>
                <w:lang w:eastAsia="fi-FI"/>
              </w:rPr>
              <w:t>,</w:t>
            </w:r>
            <w:r>
              <w:rPr>
                <w:rFonts w:eastAsia="Calibri" w:cs="Calibri"/>
                <w:lang w:eastAsia="fi-FI"/>
              </w:rPr>
              <w:t xml:space="preserve"> osaa varmistaa hoitosuunnitelman </w:t>
            </w:r>
            <w:r>
              <w:rPr>
                <w:rFonts w:eastAsia="Calibri" w:cs="Calibri"/>
                <w:lang w:eastAsia="fi-FI"/>
              </w:rPr>
              <w:lastRenderedPageBreak/>
              <w:t xml:space="preserve">mukaisen tutkimuksen oikeutusarvioinnin </w:t>
            </w:r>
            <w:r w:rsidRPr="005E582E">
              <w:rPr>
                <w:rFonts w:eastAsia="Calibri" w:cs="Calibri"/>
                <w:lang w:eastAsia="fi-FI"/>
              </w:rPr>
              <w:t xml:space="preserve"> ja osaa ohjata potilaan lääkärille</w:t>
            </w:r>
            <w:r>
              <w:rPr>
                <w:rFonts w:eastAsia="Calibri" w:cs="Calibri"/>
                <w:lang w:eastAsia="fi-FI"/>
              </w:rPr>
              <w:t xml:space="preserve"> tai hammaslääkärille</w:t>
            </w:r>
            <w:r w:rsidRPr="005E582E">
              <w:rPr>
                <w:rFonts w:eastAsia="Calibri" w:cs="Calibri"/>
                <w:lang w:eastAsia="fi-FI"/>
              </w:rPr>
              <w:t xml:space="preserve"> tarvittaessa</w:t>
            </w:r>
            <w:r w:rsidR="00635101">
              <w:rPr>
                <w:rFonts w:eastAsia="Calibri" w:cs="Calibri"/>
                <w:lang w:eastAsia="fi-FI"/>
              </w:rPr>
              <w:t>;</w:t>
            </w:r>
            <w:r w:rsidRPr="005E582E">
              <w:rPr>
                <w:rFonts w:eastAsia="Calibri" w:cs="Calibri"/>
                <w:lang w:eastAsia="fi-FI"/>
              </w:rPr>
              <w:t xml:space="preserve"> </w:t>
            </w:r>
          </w:p>
          <w:p w14:paraId="053DB082" w14:textId="0DF96ED7" w:rsidR="00506442" w:rsidRPr="005E582E" w:rsidRDefault="00506442" w:rsidP="00624C57">
            <w:pPr>
              <w:numPr>
                <w:ilvl w:val="0"/>
                <w:numId w:val="22"/>
              </w:numPr>
              <w:contextualSpacing/>
              <w:jc w:val="both"/>
              <w:rPr>
                <w:rFonts w:eastAsia="Calibri" w:cs="Calibri"/>
                <w:lang w:eastAsia="fi-FI"/>
              </w:rPr>
            </w:pPr>
            <w:r>
              <w:rPr>
                <w:rFonts w:eastAsia="Calibri" w:cs="Calibri"/>
                <w:lang w:eastAsia="fi-FI"/>
              </w:rPr>
              <w:t>Tuntee</w:t>
            </w:r>
            <w:r w:rsidRPr="005E582E">
              <w:rPr>
                <w:rFonts w:eastAsia="Calibri" w:cs="Calibri"/>
                <w:lang w:eastAsia="fi-FI"/>
              </w:rPr>
              <w:t xml:space="preserve"> lähetteen kirjoittamisesta annetu</w:t>
            </w:r>
            <w:r>
              <w:rPr>
                <w:rFonts w:eastAsia="Calibri" w:cs="Calibri"/>
                <w:lang w:eastAsia="fi-FI"/>
              </w:rPr>
              <w:t>t</w:t>
            </w:r>
            <w:r w:rsidRPr="005E582E">
              <w:rPr>
                <w:rFonts w:eastAsia="Calibri" w:cs="Calibri"/>
                <w:lang w:eastAsia="fi-FI"/>
              </w:rPr>
              <w:t xml:space="preserve"> ohj</w:t>
            </w:r>
            <w:r>
              <w:rPr>
                <w:rFonts w:eastAsia="Calibri" w:cs="Calibri"/>
                <w:lang w:eastAsia="fi-FI"/>
              </w:rPr>
              <w:t>eet</w:t>
            </w:r>
            <w:r w:rsidRPr="005E582E">
              <w:rPr>
                <w:rFonts w:eastAsia="Calibri" w:cs="Calibri"/>
                <w:lang w:eastAsia="fi-FI"/>
              </w:rPr>
              <w:t xml:space="preserve"> ja säädök</w:t>
            </w:r>
            <w:r>
              <w:rPr>
                <w:rFonts w:eastAsia="Calibri" w:cs="Calibri"/>
                <w:lang w:eastAsia="fi-FI"/>
              </w:rPr>
              <w:t>set</w:t>
            </w:r>
            <w:r w:rsidRPr="005E582E">
              <w:rPr>
                <w:rFonts w:eastAsia="Calibri" w:cs="Calibri"/>
                <w:lang w:eastAsia="fi-FI"/>
              </w:rPr>
              <w:t xml:space="preserve"> ja osaa kirjoittaa kri</w:t>
            </w:r>
            <w:r w:rsidRPr="005E582E">
              <w:rPr>
                <w:rFonts w:eastAsia="Calibri" w:cs="Calibri"/>
                <w:lang w:eastAsia="fi-FI"/>
              </w:rPr>
              <w:softHyphen/>
              <w:t>teerien mukaisen lähetteen</w:t>
            </w:r>
            <w:r>
              <w:rPr>
                <w:rFonts w:eastAsia="Calibri" w:cs="Calibri"/>
                <w:lang w:eastAsia="fi-FI"/>
              </w:rPr>
              <w:t>.</w:t>
            </w:r>
            <w:r w:rsidRPr="005E582E">
              <w:rPr>
                <w:rFonts w:eastAsia="Calibri" w:cs="Calibri"/>
                <w:lang w:eastAsia="fi-FI"/>
              </w:rPr>
              <w:t xml:space="preserve"> </w:t>
            </w:r>
          </w:p>
        </w:tc>
      </w:tr>
      <w:tr w:rsidR="00506442" w:rsidRPr="008702C0" w14:paraId="6033D24B" w14:textId="77777777" w:rsidTr="007F696F">
        <w:tc>
          <w:tcPr>
            <w:tcW w:w="3554" w:type="dxa"/>
            <w:hideMark/>
          </w:tcPr>
          <w:p w14:paraId="35C688A8" w14:textId="77777777" w:rsidR="00506442" w:rsidRPr="008702C0" w:rsidRDefault="00506442" w:rsidP="00624C57">
            <w:pPr>
              <w:numPr>
                <w:ilvl w:val="0"/>
                <w:numId w:val="18"/>
              </w:numPr>
              <w:ind w:left="426" w:hanging="426"/>
              <w:contextualSpacing/>
              <w:rPr>
                <w:rFonts w:cs="Cambria"/>
                <w:i/>
              </w:rPr>
            </w:pPr>
            <w:r w:rsidRPr="008702C0">
              <w:rPr>
                <w:rFonts w:cs="Cambria"/>
                <w:i/>
              </w:rPr>
              <w:t>Kuvantamismenetelmät ja -indikaatiot</w:t>
            </w:r>
          </w:p>
        </w:tc>
        <w:tc>
          <w:tcPr>
            <w:tcW w:w="6477" w:type="dxa"/>
            <w:gridSpan w:val="2"/>
            <w:vMerge/>
            <w:hideMark/>
          </w:tcPr>
          <w:p w14:paraId="1C756F19" w14:textId="77777777" w:rsidR="00506442" w:rsidRPr="005E582E" w:rsidRDefault="00506442" w:rsidP="00865F79">
            <w:pPr>
              <w:rPr>
                <w:rFonts w:eastAsia="Calibri" w:cs="Calibri"/>
                <w:lang w:eastAsia="fi-FI"/>
              </w:rPr>
            </w:pPr>
          </w:p>
        </w:tc>
      </w:tr>
      <w:tr w:rsidR="00506442" w:rsidRPr="008702C0" w14:paraId="631211DD" w14:textId="77777777" w:rsidTr="007F696F">
        <w:tc>
          <w:tcPr>
            <w:tcW w:w="3554" w:type="dxa"/>
            <w:hideMark/>
          </w:tcPr>
          <w:p w14:paraId="3F177AA3" w14:textId="77777777" w:rsidR="00506442" w:rsidRPr="008702C0" w:rsidRDefault="00506442" w:rsidP="00865F79">
            <w:pPr>
              <w:ind w:left="426" w:hanging="426"/>
              <w:rPr>
                <w:rFonts w:cs="Cambria"/>
              </w:rPr>
            </w:pPr>
            <w:r w:rsidRPr="008702C0">
              <w:rPr>
                <w:rFonts w:eastAsia="Times New Roman"/>
                <w:i/>
                <w:iCs/>
                <w:lang w:eastAsia="fi-FI"/>
              </w:rPr>
              <w:t>3.     Kliininen tutkiminen ja terveydentilan arviointi lähetteen kirjoittamisen yhteydessä ja lähetteen kirjoittaminen</w:t>
            </w:r>
          </w:p>
        </w:tc>
        <w:tc>
          <w:tcPr>
            <w:tcW w:w="6477" w:type="dxa"/>
            <w:gridSpan w:val="2"/>
            <w:vMerge/>
            <w:hideMark/>
          </w:tcPr>
          <w:p w14:paraId="02C88E91" w14:textId="77777777" w:rsidR="00506442" w:rsidRPr="005E582E" w:rsidRDefault="00506442" w:rsidP="00865F79">
            <w:pPr>
              <w:rPr>
                <w:rFonts w:eastAsia="Calibri" w:cs="Calibri"/>
                <w:lang w:eastAsia="fi-FI"/>
              </w:rPr>
            </w:pPr>
          </w:p>
        </w:tc>
      </w:tr>
      <w:tr w:rsidR="00506442" w:rsidRPr="008702C0" w14:paraId="77EA95C3" w14:textId="77777777" w:rsidTr="007F696F">
        <w:tc>
          <w:tcPr>
            <w:tcW w:w="3554" w:type="dxa"/>
            <w:hideMark/>
          </w:tcPr>
          <w:p w14:paraId="4744262D" w14:textId="77777777" w:rsidR="00506442" w:rsidRPr="008702C0" w:rsidRDefault="00506442" w:rsidP="00865F79">
            <w:pPr>
              <w:ind w:left="426" w:hanging="426"/>
              <w:rPr>
                <w:rFonts w:cs="Cambria"/>
                <w:i/>
              </w:rPr>
            </w:pPr>
            <w:r w:rsidRPr="008702C0">
              <w:rPr>
                <w:rFonts w:eastAsia="Times New Roman"/>
                <w:i/>
                <w:iCs/>
                <w:lang w:eastAsia="fi-FI"/>
              </w:rPr>
              <w:t>4.     Kuvantamistutkimuksiin liittyvä osaaminen: säteilyturvallisuus, kuvantamismenetelmät, AFY ym.</w:t>
            </w:r>
          </w:p>
        </w:tc>
        <w:tc>
          <w:tcPr>
            <w:tcW w:w="6477" w:type="dxa"/>
            <w:gridSpan w:val="2"/>
            <w:vMerge/>
            <w:hideMark/>
          </w:tcPr>
          <w:p w14:paraId="1C79637E" w14:textId="77777777" w:rsidR="00506442" w:rsidRPr="005E582E" w:rsidRDefault="00506442" w:rsidP="00865F79">
            <w:pPr>
              <w:rPr>
                <w:rFonts w:eastAsia="Calibri" w:cs="Calibri"/>
                <w:lang w:eastAsia="fi-FI"/>
              </w:rPr>
            </w:pPr>
          </w:p>
        </w:tc>
      </w:tr>
      <w:tr w:rsidR="00506442" w:rsidRPr="008702C0" w14:paraId="26F2A28D" w14:textId="77777777" w:rsidTr="007F696F">
        <w:tc>
          <w:tcPr>
            <w:tcW w:w="3554" w:type="dxa"/>
            <w:hideMark/>
          </w:tcPr>
          <w:p w14:paraId="7D80547E" w14:textId="77777777" w:rsidR="00506442" w:rsidRPr="008702C0" w:rsidRDefault="00506442" w:rsidP="00865F79">
            <w:pPr>
              <w:ind w:left="426" w:hanging="426"/>
              <w:rPr>
                <w:rFonts w:eastAsia="Times New Roman"/>
                <w:i/>
                <w:iCs/>
                <w:lang w:eastAsia="fi-FI"/>
              </w:rPr>
            </w:pPr>
            <w:r w:rsidRPr="008702C0">
              <w:rPr>
                <w:rFonts w:eastAsia="Times New Roman"/>
                <w:i/>
                <w:iCs/>
                <w:lang w:eastAsia="fi-FI"/>
              </w:rPr>
              <w:t>5.    Osaamisen näytöt</w:t>
            </w:r>
          </w:p>
        </w:tc>
        <w:tc>
          <w:tcPr>
            <w:tcW w:w="6477" w:type="dxa"/>
            <w:gridSpan w:val="2"/>
            <w:vMerge/>
            <w:hideMark/>
          </w:tcPr>
          <w:p w14:paraId="3F367350" w14:textId="77777777" w:rsidR="00506442" w:rsidRPr="005E582E" w:rsidRDefault="00506442" w:rsidP="00865F79">
            <w:pPr>
              <w:rPr>
                <w:rFonts w:eastAsia="Calibri" w:cs="Calibri"/>
                <w:lang w:eastAsia="fi-FI"/>
              </w:rPr>
            </w:pPr>
          </w:p>
        </w:tc>
      </w:tr>
      <w:tr w:rsidR="00506442" w:rsidRPr="008702C0" w14:paraId="7D435229" w14:textId="77777777" w:rsidTr="007F696F">
        <w:tc>
          <w:tcPr>
            <w:tcW w:w="3554" w:type="dxa"/>
            <w:hideMark/>
          </w:tcPr>
          <w:p w14:paraId="4552B092" w14:textId="77777777" w:rsidR="00506442" w:rsidRPr="008702C0" w:rsidRDefault="00506442" w:rsidP="00865F79">
            <w:pPr>
              <w:rPr>
                <w:rFonts w:eastAsia="Times New Roman"/>
                <w:iCs/>
                <w:sz w:val="24"/>
                <w:szCs w:val="24"/>
                <w:lang w:eastAsia="fi-FI"/>
              </w:rPr>
            </w:pPr>
            <w:r w:rsidRPr="008702C0">
              <w:rPr>
                <w:rFonts w:eastAsia="Times New Roman"/>
                <w:iCs/>
                <w:sz w:val="24"/>
                <w:szCs w:val="24"/>
                <w:lang w:eastAsia="fi-FI"/>
              </w:rPr>
              <w:lastRenderedPageBreak/>
              <w:t>OPINTOJEN LAAJUUS</w:t>
            </w:r>
          </w:p>
        </w:tc>
        <w:tc>
          <w:tcPr>
            <w:tcW w:w="3217" w:type="dxa"/>
            <w:hideMark/>
          </w:tcPr>
          <w:p w14:paraId="104CB778" w14:textId="77777777" w:rsidR="00506442" w:rsidRPr="005E582E" w:rsidRDefault="00506442" w:rsidP="00865F79">
            <w:pPr>
              <w:rPr>
                <w:rFonts w:eastAsia="Times New Roman"/>
                <w:iCs/>
                <w:lang w:eastAsia="fi-FI"/>
              </w:rPr>
            </w:pPr>
            <w:r w:rsidRPr="005E582E">
              <w:rPr>
                <w:rFonts w:eastAsia="Times New Roman"/>
                <w:iCs/>
                <w:lang w:eastAsia="fi-FI"/>
              </w:rPr>
              <w:t>15 opintopistettä</w:t>
            </w:r>
          </w:p>
        </w:tc>
        <w:tc>
          <w:tcPr>
            <w:tcW w:w="3260" w:type="dxa"/>
            <w:hideMark/>
          </w:tcPr>
          <w:p w14:paraId="6A2735AE" w14:textId="55123C54" w:rsidR="00506442" w:rsidRPr="005E582E" w:rsidRDefault="00AB3703" w:rsidP="00865F79">
            <w:pPr>
              <w:rPr>
                <w:rFonts w:eastAsia="Times New Roman"/>
                <w:iCs/>
                <w:lang w:eastAsia="fi-FI"/>
              </w:rPr>
            </w:pPr>
            <w:r>
              <w:rPr>
                <w:rFonts w:eastAsia="Times New Roman"/>
                <w:iCs/>
                <w:lang w:eastAsia="fi-FI"/>
              </w:rPr>
              <w:t>4</w:t>
            </w:r>
            <w:r w:rsidR="00506442" w:rsidRPr="005E582E">
              <w:rPr>
                <w:rFonts w:eastAsia="Times New Roman"/>
                <w:iCs/>
                <w:lang w:eastAsia="fi-FI"/>
              </w:rPr>
              <w:t xml:space="preserve"> opintopistettä</w:t>
            </w:r>
          </w:p>
        </w:tc>
      </w:tr>
    </w:tbl>
    <w:p w14:paraId="1AB3FC10" w14:textId="77777777" w:rsidR="00A67AA4" w:rsidRDefault="00A67AA4" w:rsidP="00506442">
      <w:pPr>
        <w:rPr>
          <w:rFonts w:ascii="Cambria" w:eastAsia="Cambria" w:hAnsi="Cambria" w:cs="Cambria"/>
        </w:rPr>
      </w:pPr>
    </w:p>
    <w:p w14:paraId="05D9AD62" w14:textId="342FEBC3" w:rsidR="00506442" w:rsidRPr="008702C0" w:rsidRDefault="00A67AA4" w:rsidP="00506442">
      <w:pPr>
        <w:rPr>
          <w:rFonts w:ascii="Cambria" w:eastAsia="Cambria" w:hAnsi="Cambria" w:cs="Cambria"/>
        </w:rPr>
      </w:pPr>
      <w:r w:rsidRPr="00CB58FA">
        <w:rPr>
          <w:rFonts w:ascii="Cambria" w:eastAsia="Cambria" w:hAnsi="Cambria" w:cs="Cambria"/>
        </w:rPr>
        <w:t>Terveydenhuollon ammattihenkilöiden säteilysuojelukoulutuksesta säädetään säteil</w:t>
      </w:r>
      <w:r w:rsidR="00E2658A" w:rsidRPr="00CB58FA">
        <w:rPr>
          <w:rFonts w:ascii="Cambria" w:eastAsia="Cambria" w:hAnsi="Cambria" w:cs="Cambria"/>
        </w:rPr>
        <w:t xml:space="preserve">ylain </w:t>
      </w:r>
      <w:r w:rsidR="00CB58FA" w:rsidRPr="00CB58FA">
        <w:rPr>
          <w:rFonts w:ascii="Cambria" w:eastAsia="Cambria" w:hAnsi="Cambria" w:cs="Cambria"/>
        </w:rPr>
        <w:t xml:space="preserve">43 </w:t>
      </w:r>
      <w:r w:rsidR="00E2658A" w:rsidRPr="00CB58FA">
        <w:rPr>
          <w:rFonts w:ascii="Cambria" w:eastAsia="Cambria" w:hAnsi="Cambria" w:cs="Cambria"/>
        </w:rPr>
        <w:t xml:space="preserve">§:n </w:t>
      </w:r>
      <w:r w:rsidR="00CB58FA" w:rsidRPr="00CB58FA">
        <w:rPr>
          <w:rFonts w:ascii="Cambria" w:eastAsia="Cambria" w:hAnsi="Cambria" w:cs="Cambria"/>
        </w:rPr>
        <w:t xml:space="preserve">2 </w:t>
      </w:r>
      <w:r w:rsidR="00E2658A" w:rsidRPr="00CB58FA">
        <w:rPr>
          <w:rFonts w:ascii="Cambria" w:eastAsia="Cambria" w:hAnsi="Cambria" w:cs="Cambria"/>
        </w:rPr>
        <w:t>momentin nojalla</w:t>
      </w:r>
      <w:r w:rsidR="00506442" w:rsidRPr="00CB58FA">
        <w:rPr>
          <w:rFonts w:ascii="Cambria" w:eastAsia="Cambria" w:hAnsi="Cambria" w:cs="Cambria"/>
        </w:rPr>
        <w:t xml:space="preserve">. </w:t>
      </w:r>
    </w:p>
    <w:p w14:paraId="4AF31F71" w14:textId="77777777" w:rsidR="00506442" w:rsidRPr="00506442" w:rsidRDefault="00506442" w:rsidP="00506442"/>
    <w:p w14:paraId="29968978" w14:textId="77777777" w:rsidR="00506342" w:rsidRDefault="00506342" w:rsidP="0046672F">
      <w:pPr>
        <w:pStyle w:val="Eivli"/>
      </w:pPr>
    </w:p>
    <w:p w14:paraId="13C8D93C" w14:textId="59A55ADA" w:rsidR="00E86079" w:rsidRDefault="00E86079">
      <w:r>
        <w:br w:type="page"/>
      </w:r>
    </w:p>
    <w:p w14:paraId="379B4007" w14:textId="5DD66493" w:rsidR="0046672F" w:rsidRDefault="00635101" w:rsidP="00E86079">
      <w:pPr>
        <w:pStyle w:val="Otsikko1"/>
      </w:pPr>
      <w:r>
        <w:lastRenderedPageBreak/>
        <w:t xml:space="preserve">LIITE </w:t>
      </w:r>
      <w:r w:rsidR="001B2972">
        <w:t>7</w:t>
      </w:r>
    </w:p>
    <w:p w14:paraId="434DEF19" w14:textId="11C0312F" w:rsidR="00E86079" w:rsidRPr="007D6166" w:rsidRDefault="007D6166" w:rsidP="00E86079">
      <w:r>
        <w:rPr>
          <w:rFonts w:ascii="Times New Roman" w:eastAsia="Times New Roman" w:hAnsi="Times New Roman" w:cs="Times New Roman"/>
          <w:szCs w:val="24"/>
          <w:lang w:eastAsia="fi-FI"/>
        </w:rPr>
        <w:t>K</w:t>
      </w:r>
      <w:r w:rsidR="00E86079" w:rsidRPr="0055577E">
        <w:t>ansalli</w:t>
      </w:r>
      <w:r w:rsidR="00E86079">
        <w:t>sessa</w:t>
      </w:r>
      <w:r w:rsidR="00E86079" w:rsidRPr="0055577E">
        <w:t xml:space="preserve"> toimintasuunnitelma</w:t>
      </w:r>
      <w:r w:rsidR="00E86079">
        <w:t>ssa</w:t>
      </w:r>
      <w:r w:rsidR="00E86079" w:rsidRPr="0055577E">
        <w:t xml:space="preserve"> </w:t>
      </w:r>
      <w:r>
        <w:t xml:space="preserve">käsiteltävät asiat </w:t>
      </w:r>
      <w:r w:rsidR="00E86079" w:rsidRPr="0055577E">
        <w:t>radonriskien ehkäisemiseksi</w:t>
      </w:r>
    </w:p>
    <w:p w14:paraId="1FDA5825" w14:textId="77777777" w:rsidR="00E86079" w:rsidRPr="008D388A" w:rsidRDefault="009F56F8" w:rsidP="00624C57">
      <w:pPr>
        <w:pStyle w:val="Luettelokappale"/>
        <w:numPr>
          <w:ilvl w:val="0"/>
          <w:numId w:val="34"/>
        </w:numPr>
        <w:spacing w:after="0" w:line="240" w:lineRule="auto"/>
        <w:jc w:val="both"/>
        <w:rPr>
          <w:bCs/>
          <w:iCs/>
          <w:noProof/>
        </w:rPr>
      </w:pPr>
      <w:hyperlink w:anchor="_Toc469921734" w:history="1">
        <w:r w:rsidR="00E86079" w:rsidRPr="008D388A">
          <w:rPr>
            <w:rStyle w:val="Hyperlinkki"/>
            <w:noProof/>
            <w:color w:val="auto"/>
            <w:u w:val="none"/>
          </w:rPr>
          <w:t>Radonin mittaamismenetelmät</w:t>
        </w:r>
      </w:hyperlink>
    </w:p>
    <w:p w14:paraId="16743EF0" w14:textId="77777777" w:rsidR="00E86079" w:rsidRPr="00CB212A" w:rsidRDefault="00E86079" w:rsidP="00624C57">
      <w:pPr>
        <w:pStyle w:val="Luettelokappale"/>
        <w:numPr>
          <w:ilvl w:val="0"/>
          <w:numId w:val="34"/>
        </w:numPr>
        <w:spacing w:after="0" w:line="240" w:lineRule="auto"/>
        <w:jc w:val="both"/>
        <w:rPr>
          <w:bCs/>
          <w:noProof/>
        </w:rPr>
      </w:pPr>
      <w:r w:rsidRPr="008D388A">
        <w:t>Kansallinen radontietokanta, r</w:t>
      </w:r>
      <w:hyperlink w:anchor="_Toc469921739" w:history="1">
        <w:r w:rsidRPr="008D388A">
          <w:rPr>
            <w:rStyle w:val="Hyperlinkki"/>
            <w:noProof/>
            <w:color w:val="auto"/>
            <w:u w:val="none"/>
          </w:rPr>
          <w:t>adonkartoitus</w:t>
        </w:r>
      </w:hyperlink>
      <w:r w:rsidRPr="008D388A">
        <w:rPr>
          <w:noProof/>
        </w:rPr>
        <w:t xml:space="preserve"> j</w:t>
      </w:r>
      <w:r w:rsidRPr="00CB212A">
        <w:rPr>
          <w:noProof/>
        </w:rPr>
        <w:t>a radonriskialueet</w:t>
      </w:r>
    </w:p>
    <w:p w14:paraId="049F3936" w14:textId="77777777" w:rsidR="00E86079" w:rsidRPr="00CB212A" w:rsidRDefault="00E86079" w:rsidP="00624C57">
      <w:pPr>
        <w:pStyle w:val="Luettelokappale"/>
        <w:numPr>
          <w:ilvl w:val="0"/>
          <w:numId w:val="34"/>
        </w:numPr>
        <w:spacing w:after="0" w:line="240" w:lineRule="auto"/>
        <w:jc w:val="both"/>
        <w:rPr>
          <w:bCs/>
          <w:iCs/>
          <w:noProof/>
        </w:rPr>
      </w:pPr>
      <w:r w:rsidRPr="00CB212A">
        <w:rPr>
          <w:noProof/>
        </w:rPr>
        <w:t>Radonvalvonta ja viitearvot</w:t>
      </w:r>
      <w:r w:rsidRPr="00CB212A">
        <w:rPr>
          <w:noProof/>
          <w:webHidden/>
        </w:rPr>
        <w:tab/>
      </w:r>
    </w:p>
    <w:p w14:paraId="6B626CAF" w14:textId="77777777" w:rsidR="00E86079" w:rsidRPr="00CB212A" w:rsidRDefault="00E86079" w:rsidP="00624C57">
      <w:pPr>
        <w:pStyle w:val="Luettelokappale"/>
        <w:numPr>
          <w:ilvl w:val="0"/>
          <w:numId w:val="34"/>
        </w:numPr>
        <w:spacing w:after="0" w:line="240" w:lineRule="auto"/>
        <w:jc w:val="both"/>
        <w:rPr>
          <w:bCs/>
          <w:iCs/>
          <w:noProof/>
        </w:rPr>
      </w:pPr>
      <w:r w:rsidRPr="00CB212A">
        <w:rPr>
          <w:noProof/>
        </w:rPr>
        <w:t>Sisäilman radonpitoisuuden pienentäminen</w:t>
      </w:r>
    </w:p>
    <w:p w14:paraId="39F06BE3" w14:textId="77777777" w:rsidR="00E86079" w:rsidRPr="00CB212A" w:rsidRDefault="00E86079" w:rsidP="00624C57">
      <w:pPr>
        <w:pStyle w:val="Luettelokappale"/>
        <w:numPr>
          <w:ilvl w:val="1"/>
          <w:numId w:val="34"/>
        </w:numPr>
        <w:spacing w:after="0" w:line="240" w:lineRule="auto"/>
        <w:jc w:val="both"/>
        <w:rPr>
          <w:bCs/>
          <w:noProof/>
        </w:rPr>
      </w:pPr>
      <w:r w:rsidRPr="00CB212A">
        <w:rPr>
          <w:noProof/>
        </w:rPr>
        <w:t>Uusien rakennusten radonturvallisuus</w:t>
      </w:r>
    </w:p>
    <w:p w14:paraId="5767B61C" w14:textId="77777777" w:rsidR="00E86079" w:rsidRPr="00CB212A" w:rsidRDefault="00E86079" w:rsidP="00624C57">
      <w:pPr>
        <w:pStyle w:val="Luettelokappale"/>
        <w:numPr>
          <w:ilvl w:val="1"/>
          <w:numId w:val="34"/>
        </w:numPr>
        <w:spacing w:after="0" w:line="240" w:lineRule="auto"/>
        <w:jc w:val="both"/>
        <w:rPr>
          <w:bCs/>
          <w:noProof/>
        </w:rPr>
      </w:pPr>
      <w:r w:rsidRPr="00CB212A">
        <w:rPr>
          <w:noProof/>
        </w:rPr>
        <w:t>Radonkorjaukset</w:t>
      </w:r>
    </w:p>
    <w:p w14:paraId="40C2376C" w14:textId="77777777" w:rsidR="00E86079" w:rsidRPr="00CB212A" w:rsidRDefault="00E86079" w:rsidP="00624C57">
      <w:pPr>
        <w:pStyle w:val="Luettelokappale"/>
        <w:numPr>
          <w:ilvl w:val="1"/>
          <w:numId w:val="34"/>
        </w:numPr>
        <w:spacing w:after="0" w:line="240" w:lineRule="auto"/>
        <w:jc w:val="both"/>
        <w:rPr>
          <w:bCs/>
          <w:noProof/>
        </w:rPr>
      </w:pPr>
      <w:r w:rsidRPr="00CB212A">
        <w:rPr>
          <w:noProof/>
        </w:rPr>
        <w:t xml:space="preserve">Radonkorjaajien pätevyys </w:t>
      </w:r>
    </w:p>
    <w:p w14:paraId="75D50F9C" w14:textId="77777777" w:rsidR="00E86079" w:rsidRPr="00CB212A" w:rsidRDefault="00E86079" w:rsidP="00624C57">
      <w:pPr>
        <w:pStyle w:val="Luettelokappale"/>
        <w:numPr>
          <w:ilvl w:val="1"/>
          <w:numId w:val="34"/>
        </w:numPr>
        <w:spacing w:after="0" w:line="240" w:lineRule="auto"/>
        <w:jc w:val="both"/>
        <w:rPr>
          <w:bCs/>
          <w:noProof/>
        </w:rPr>
      </w:pPr>
      <w:r w:rsidRPr="00CB212A">
        <w:rPr>
          <w:noProof/>
        </w:rPr>
        <w:t>Rakennusmateriaalit ja talousvesi sisäilman radonin lähteenä</w:t>
      </w:r>
    </w:p>
    <w:p w14:paraId="09C4CAA9" w14:textId="77777777" w:rsidR="00E86079" w:rsidRPr="00CB212A" w:rsidRDefault="00E86079" w:rsidP="00624C57">
      <w:pPr>
        <w:pStyle w:val="Luettelokappale"/>
        <w:numPr>
          <w:ilvl w:val="0"/>
          <w:numId w:val="34"/>
        </w:numPr>
        <w:spacing w:after="0" w:line="240" w:lineRule="auto"/>
        <w:jc w:val="both"/>
        <w:rPr>
          <w:bCs/>
          <w:noProof/>
        </w:rPr>
      </w:pPr>
      <w:r w:rsidRPr="00CB212A">
        <w:rPr>
          <w:noProof/>
        </w:rPr>
        <w:t xml:space="preserve">Riskiviestintä </w:t>
      </w:r>
    </w:p>
    <w:p w14:paraId="5D9F79F4" w14:textId="77777777" w:rsidR="00E86079" w:rsidRPr="00CB212A" w:rsidRDefault="00E86079" w:rsidP="00624C57">
      <w:pPr>
        <w:pStyle w:val="Luettelokappale"/>
        <w:numPr>
          <w:ilvl w:val="0"/>
          <w:numId w:val="34"/>
        </w:numPr>
        <w:spacing w:after="0" w:line="240" w:lineRule="auto"/>
        <w:jc w:val="both"/>
        <w:rPr>
          <w:bCs/>
          <w:noProof/>
        </w:rPr>
      </w:pPr>
      <w:r w:rsidRPr="00CB212A">
        <w:rPr>
          <w:noProof/>
        </w:rPr>
        <w:t>Liittymäpinnat muihin kansallisiin ohjelmiin</w:t>
      </w:r>
    </w:p>
    <w:p w14:paraId="4A166732" w14:textId="77777777" w:rsidR="00E86079" w:rsidRPr="00CB212A" w:rsidRDefault="00E86079" w:rsidP="00624C57">
      <w:pPr>
        <w:pStyle w:val="Luettelokappale"/>
        <w:numPr>
          <w:ilvl w:val="0"/>
          <w:numId w:val="34"/>
        </w:numPr>
        <w:spacing w:after="0" w:line="240" w:lineRule="auto"/>
        <w:jc w:val="both"/>
        <w:rPr>
          <w:bCs/>
          <w:iCs/>
          <w:noProof/>
        </w:rPr>
      </w:pPr>
      <w:r w:rsidRPr="00CB212A">
        <w:t>Toimintasuunnitelman täytäntöönpanoon käytettävissä olevat resurssit</w:t>
      </w:r>
    </w:p>
    <w:p w14:paraId="5881D609" w14:textId="77777777" w:rsidR="00E86079" w:rsidRPr="00CB212A" w:rsidRDefault="00E86079" w:rsidP="00624C57">
      <w:pPr>
        <w:pStyle w:val="Luettelokappale"/>
        <w:numPr>
          <w:ilvl w:val="0"/>
          <w:numId w:val="34"/>
        </w:numPr>
        <w:spacing w:after="0" w:line="240" w:lineRule="auto"/>
        <w:jc w:val="both"/>
        <w:rPr>
          <w:bCs/>
          <w:iCs/>
          <w:noProof/>
        </w:rPr>
      </w:pPr>
      <w:r w:rsidRPr="00CB212A">
        <w:rPr>
          <w:noProof/>
        </w:rPr>
        <w:t>Pitkän aikavälin tavoitteet radonaltistuksesta aiheutuvan keuhkosyöpäriskin pienentämiseksi</w:t>
      </w:r>
    </w:p>
    <w:p w14:paraId="07FCEE31" w14:textId="77777777" w:rsidR="00E86079" w:rsidRPr="00CB212A" w:rsidRDefault="00E86079" w:rsidP="00624C57">
      <w:pPr>
        <w:pStyle w:val="Luettelokappale"/>
        <w:numPr>
          <w:ilvl w:val="0"/>
          <w:numId w:val="34"/>
        </w:numPr>
        <w:spacing w:after="0" w:line="240" w:lineRule="auto"/>
        <w:jc w:val="both"/>
        <w:rPr>
          <w:noProof/>
        </w:rPr>
      </w:pPr>
      <w:r w:rsidRPr="00CB212A">
        <w:rPr>
          <w:noProof/>
        </w:rPr>
        <w:t>Eri toimijoiden roolit ja vastuut radonasioissa</w:t>
      </w:r>
    </w:p>
    <w:p w14:paraId="01C790B3" w14:textId="77777777" w:rsidR="00E86079" w:rsidRDefault="00E86079" w:rsidP="00E86079"/>
    <w:p w14:paraId="155C3727" w14:textId="1F0D8417" w:rsidR="00270746" w:rsidRDefault="00270746" w:rsidP="00E86079"/>
    <w:p w14:paraId="622E234F" w14:textId="768D22B2" w:rsidR="00E86079" w:rsidRPr="00E86079" w:rsidRDefault="00E86079" w:rsidP="00E86079"/>
    <w:sectPr w:rsidR="00E86079" w:rsidRPr="00E86079" w:rsidSect="00624C57">
      <w:pgSz w:w="11906" w:h="16838" w:code="9"/>
      <w:pgMar w:top="1134" w:right="567" w:bottom="1701"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89FDB" w14:textId="77777777" w:rsidR="00EA6A6C" w:rsidRDefault="00EA6A6C" w:rsidP="00865F79">
      <w:pPr>
        <w:spacing w:after="0" w:line="240" w:lineRule="auto"/>
      </w:pPr>
      <w:r>
        <w:separator/>
      </w:r>
    </w:p>
  </w:endnote>
  <w:endnote w:type="continuationSeparator" w:id="0">
    <w:p w14:paraId="0CA65E62" w14:textId="77777777" w:rsidR="00EA6A6C" w:rsidRDefault="00EA6A6C" w:rsidP="00865F79">
      <w:pPr>
        <w:spacing w:after="0" w:line="240" w:lineRule="auto"/>
      </w:pPr>
      <w:r>
        <w:continuationSeparator/>
      </w:r>
    </w:p>
  </w:endnote>
  <w:endnote w:type="continuationNotice" w:id="1">
    <w:p w14:paraId="68365BE2" w14:textId="77777777" w:rsidR="00EA6A6C" w:rsidRDefault="00EA6A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A45DA" w14:textId="77777777" w:rsidR="00EA6A6C" w:rsidRDefault="00EA6A6C" w:rsidP="00865F79">
      <w:pPr>
        <w:spacing w:after="0" w:line="240" w:lineRule="auto"/>
      </w:pPr>
      <w:r>
        <w:separator/>
      </w:r>
    </w:p>
  </w:footnote>
  <w:footnote w:type="continuationSeparator" w:id="0">
    <w:p w14:paraId="06B41A05" w14:textId="77777777" w:rsidR="00EA6A6C" w:rsidRDefault="00EA6A6C" w:rsidP="00865F79">
      <w:pPr>
        <w:spacing w:after="0" w:line="240" w:lineRule="auto"/>
      </w:pPr>
      <w:r>
        <w:continuationSeparator/>
      </w:r>
    </w:p>
  </w:footnote>
  <w:footnote w:type="continuationNotice" w:id="1">
    <w:p w14:paraId="0CFAF331" w14:textId="77777777" w:rsidR="00EA6A6C" w:rsidRDefault="00EA6A6C">
      <w:pPr>
        <w:spacing w:after="0" w:line="240" w:lineRule="auto"/>
      </w:pPr>
    </w:p>
  </w:footnote>
  <w:footnote w:id="2">
    <w:p w14:paraId="22FCB553" w14:textId="77777777" w:rsidR="00EA6A6C" w:rsidRDefault="00EA6A6C" w:rsidP="00865F79">
      <w:pPr>
        <w:pStyle w:val="Alaviitteenteksti"/>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43AF"/>
    <w:multiLevelType w:val="hybridMultilevel"/>
    <w:tmpl w:val="79DC67BE"/>
    <w:lvl w:ilvl="0" w:tplc="FFB44FD2">
      <w:start w:val="3"/>
      <w:numFmt w:val="bullet"/>
      <w:lvlText w:val=""/>
      <w:lvlJc w:val="left"/>
      <w:pPr>
        <w:ind w:left="720" w:hanging="360"/>
      </w:pPr>
      <w:rPr>
        <w:rFonts w:ascii="Wingdings" w:eastAsiaTheme="minorEastAsia"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5C464B3"/>
    <w:multiLevelType w:val="hybridMultilevel"/>
    <w:tmpl w:val="FB245E10"/>
    <w:lvl w:ilvl="0" w:tplc="040B0011">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B1A0977"/>
    <w:multiLevelType w:val="multilevel"/>
    <w:tmpl w:val="B664C2E2"/>
    <w:styleLink w:val="NumeroituluetteloSTUK"/>
    <w:lvl w:ilvl="0">
      <w:start w:val="1"/>
      <w:numFmt w:val="decimal"/>
      <w:pStyle w:val="Numeroituluettelo"/>
      <w:lvlText w:val="%1."/>
      <w:lvlJc w:val="left"/>
      <w:pPr>
        <w:tabs>
          <w:tab w:val="num" w:pos="1304"/>
        </w:tabs>
        <w:ind w:left="1701" w:hanging="397"/>
      </w:pPr>
      <w:rPr>
        <w:rFonts w:hint="default"/>
      </w:rPr>
    </w:lvl>
    <w:lvl w:ilvl="1">
      <w:start w:val="1"/>
      <w:numFmt w:val="bullet"/>
      <w:lvlText w:val="–"/>
      <w:lvlJc w:val="left"/>
      <w:pPr>
        <w:tabs>
          <w:tab w:val="num" w:pos="1701"/>
        </w:tabs>
        <w:ind w:left="2098" w:hanging="397"/>
      </w:pPr>
      <w:rPr>
        <w:rFonts w:ascii="Cambria" w:hAnsi="Cambria" w:hint="default"/>
      </w:rPr>
    </w:lvl>
    <w:lvl w:ilvl="2">
      <w:start w:val="1"/>
      <w:numFmt w:val="bullet"/>
      <w:lvlText w:val=""/>
      <w:lvlJc w:val="left"/>
      <w:pPr>
        <w:tabs>
          <w:tab w:val="num" w:pos="2098"/>
        </w:tabs>
        <w:ind w:left="2495" w:hanging="397"/>
      </w:pPr>
      <w:rPr>
        <w:rFonts w:ascii="Wingdings" w:hAnsi="Wingdings" w:hint="default"/>
      </w:rPr>
    </w:lvl>
    <w:lvl w:ilvl="3">
      <w:start w:val="1"/>
      <w:numFmt w:val="bullet"/>
      <w:lvlText w:val="•"/>
      <w:lvlJc w:val="left"/>
      <w:pPr>
        <w:tabs>
          <w:tab w:val="num" w:pos="2495"/>
        </w:tabs>
        <w:ind w:left="2892" w:hanging="397"/>
      </w:pPr>
      <w:rPr>
        <w:rFonts w:ascii="Cambria" w:hAnsi="Cambria" w:hint="default"/>
      </w:rPr>
    </w:lvl>
    <w:lvl w:ilvl="4">
      <w:start w:val="1"/>
      <w:numFmt w:val="bullet"/>
      <w:lvlText w:val="–"/>
      <w:lvlJc w:val="left"/>
      <w:pPr>
        <w:tabs>
          <w:tab w:val="num" w:pos="2892"/>
        </w:tabs>
        <w:ind w:left="3289" w:hanging="397"/>
      </w:pPr>
      <w:rPr>
        <w:rFonts w:ascii="Cambria" w:hAnsi="Cambria" w:hint="default"/>
      </w:rPr>
    </w:lvl>
    <w:lvl w:ilvl="5">
      <w:start w:val="1"/>
      <w:numFmt w:val="bullet"/>
      <w:lvlText w:val=""/>
      <w:lvlJc w:val="left"/>
      <w:pPr>
        <w:tabs>
          <w:tab w:val="num" w:pos="3289"/>
        </w:tabs>
        <w:ind w:left="3686" w:hanging="397"/>
      </w:pPr>
      <w:rPr>
        <w:rFonts w:ascii="Wingdings" w:hAnsi="Wingdings" w:hint="default"/>
      </w:rPr>
    </w:lvl>
    <w:lvl w:ilvl="6">
      <w:start w:val="1"/>
      <w:numFmt w:val="bullet"/>
      <w:lvlText w:val="•"/>
      <w:lvlJc w:val="left"/>
      <w:pPr>
        <w:tabs>
          <w:tab w:val="num" w:pos="3686"/>
        </w:tabs>
        <w:ind w:left="4083" w:hanging="397"/>
      </w:pPr>
      <w:rPr>
        <w:rFonts w:ascii="Cambria" w:hAnsi="Cambria" w:hint="default"/>
      </w:rPr>
    </w:lvl>
    <w:lvl w:ilvl="7">
      <w:start w:val="1"/>
      <w:numFmt w:val="bullet"/>
      <w:lvlText w:val="–"/>
      <w:lvlJc w:val="left"/>
      <w:pPr>
        <w:tabs>
          <w:tab w:val="num" w:pos="4083"/>
        </w:tabs>
        <w:ind w:left="4480" w:hanging="397"/>
      </w:pPr>
      <w:rPr>
        <w:rFonts w:ascii="Cambria" w:hAnsi="Cambria" w:hint="default"/>
      </w:rPr>
    </w:lvl>
    <w:lvl w:ilvl="8">
      <w:start w:val="1"/>
      <w:numFmt w:val="bullet"/>
      <w:lvlText w:val=""/>
      <w:lvlJc w:val="left"/>
      <w:pPr>
        <w:tabs>
          <w:tab w:val="num" w:pos="4480"/>
        </w:tabs>
        <w:ind w:left="4877" w:hanging="397"/>
      </w:pPr>
      <w:rPr>
        <w:rFonts w:ascii="Wingdings" w:hAnsi="Wingdings" w:hint="default"/>
      </w:rPr>
    </w:lvl>
  </w:abstractNum>
  <w:abstractNum w:abstractNumId="3">
    <w:nsid w:val="0BE635A1"/>
    <w:multiLevelType w:val="multilevel"/>
    <w:tmpl w:val="4014A3D0"/>
    <w:styleLink w:val="MerkittyluetteloSTUK"/>
    <w:lvl w:ilvl="0">
      <w:start w:val="1"/>
      <w:numFmt w:val="bullet"/>
      <w:pStyle w:val="Merkittyluettelo"/>
      <w:lvlText w:val="•"/>
      <w:lvlJc w:val="left"/>
      <w:pPr>
        <w:tabs>
          <w:tab w:val="num" w:pos="1304"/>
        </w:tabs>
        <w:ind w:left="1701" w:hanging="397"/>
      </w:pPr>
      <w:rPr>
        <w:rFonts w:ascii="Cambria" w:hAnsi="Cambria" w:hint="default"/>
      </w:rPr>
    </w:lvl>
    <w:lvl w:ilvl="1">
      <w:start w:val="1"/>
      <w:numFmt w:val="bullet"/>
      <w:lvlText w:val="–"/>
      <w:lvlJc w:val="left"/>
      <w:pPr>
        <w:tabs>
          <w:tab w:val="num" w:pos="1701"/>
        </w:tabs>
        <w:ind w:left="2098" w:hanging="397"/>
      </w:pPr>
      <w:rPr>
        <w:rFonts w:ascii="Cambria" w:hAnsi="Cambria" w:hint="default"/>
      </w:rPr>
    </w:lvl>
    <w:lvl w:ilvl="2">
      <w:start w:val="1"/>
      <w:numFmt w:val="bullet"/>
      <w:lvlText w:val=""/>
      <w:lvlJc w:val="left"/>
      <w:pPr>
        <w:tabs>
          <w:tab w:val="num" w:pos="2098"/>
        </w:tabs>
        <w:ind w:left="2495" w:hanging="397"/>
      </w:pPr>
      <w:rPr>
        <w:rFonts w:ascii="Wingdings" w:hAnsi="Wingdings" w:hint="default"/>
      </w:rPr>
    </w:lvl>
    <w:lvl w:ilvl="3">
      <w:start w:val="1"/>
      <w:numFmt w:val="bullet"/>
      <w:lvlText w:val="•"/>
      <w:lvlJc w:val="left"/>
      <w:pPr>
        <w:tabs>
          <w:tab w:val="num" w:pos="2495"/>
        </w:tabs>
        <w:ind w:left="2892" w:hanging="397"/>
      </w:pPr>
      <w:rPr>
        <w:rFonts w:ascii="Cambria" w:hAnsi="Cambria" w:hint="default"/>
      </w:rPr>
    </w:lvl>
    <w:lvl w:ilvl="4">
      <w:start w:val="1"/>
      <w:numFmt w:val="bullet"/>
      <w:lvlText w:val="–"/>
      <w:lvlJc w:val="left"/>
      <w:pPr>
        <w:tabs>
          <w:tab w:val="num" w:pos="2892"/>
        </w:tabs>
        <w:ind w:left="3289" w:hanging="397"/>
      </w:pPr>
      <w:rPr>
        <w:rFonts w:ascii="Cambria" w:hAnsi="Cambria" w:hint="default"/>
      </w:rPr>
    </w:lvl>
    <w:lvl w:ilvl="5">
      <w:start w:val="1"/>
      <w:numFmt w:val="bullet"/>
      <w:lvlText w:val=""/>
      <w:lvlJc w:val="left"/>
      <w:pPr>
        <w:tabs>
          <w:tab w:val="num" w:pos="3289"/>
        </w:tabs>
        <w:ind w:left="3686" w:hanging="397"/>
      </w:pPr>
      <w:rPr>
        <w:rFonts w:ascii="Wingdings" w:hAnsi="Wingdings" w:hint="default"/>
      </w:rPr>
    </w:lvl>
    <w:lvl w:ilvl="6">
      <w:start w:val="1"/>
      <w:numFmt w:val="bullet"/>
      <w:lvlText w:val="•"/>
      <w:lvlJc w:val="left"/>
      <w:pPr>
        <w:tabs>
          <w:tab w:val="num" w:pos="3686"/>
        </w:tabs>
        <w:ind w:left="4083" w:hanging="397"/>
      </w:pPr>
      <w:rPr>
        <w:rFonts w:ascii="Cambria" w:hAnsi="Cambria" w:hint="default"/>
      </w:rPr>
    </w:lvl>
    <w:lvl w:ilvl="7">
      <w:start w:val="1"/>
      <w:numFmt w:val="bullet"/>
      <w:lvlText w:val="–"/>
      <w:lvlJc w:val="left"/>
      <w:pPr>
        <w:tabs>
          <w:tab w:val="num" w:pos="4083"/>
        </w:tabs>
        <w:ind w:left="4480" w:hanging="397"/>
      </w:pPr>
      <w:rPr>
        <w:rFonts w:ascii="Cambria" w:hAnsi="Cambria" w:hint="default"/>
      </w:rPr>
    </w:lvl>
    <w:lvl w:ilvl="8">
      <w:start w:val="1"/>
      <w:numFmt w:val="bullet"/>
      <w:lvlText w:val=""/>
      <w:lvlJc w:val="left"/>
      <w:pPr>
        <w:tabs>
          <w:tab w:val="num" w:pos="4480"/>
        </w:tabs>
        <w:ind w:left="4877" w:hanging="397"/>
      </w:pPr>
      <w:rPr>
        <w:rFonts w:ascii="Wingdings" w:hAnsi="Wingdings" w:hint="default"/>
      </w:rPr>
    </w:lvl>
  </w:abstractNum>
  <w:abstractNum w:abstractNumId="4">
    <w:nsid w:val="116C205B"/>
    <w:multiLevelType w:val="hybridMultilevel"/>
    <w:tmpl w:val="12AA77C2"/>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124E689E"/>
    <w:multiLevelType w:val="hybridMultilevel"/>
    <w:tmpl w:val="81E481C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162D69D5"/>
    <w:multiLevelType w:val="hybridMultilevel"/>
    <w:tmpl w:val="3050DD9C"/>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nsid w:val="18996B71"/>
    <w:multiLevelType w:val="multilevel"/>
    <w:tmpl w:val="447CD28E"/>
    <w:styleLink w:val="Stuknumeroituluettelo2"/>
    <w:lvl w:ilvl="0">
      <w:start w:val="1"/>
      <w:numFmt w:val="decimal"/>
      <w:pStyle w:val="Numeroituluettelo2"/>
      <w:lvlText w:val="%1."/>
      <w:lvlJc w:val="left"/>
      <w:pPr>
        <w:ind w:left="1701" w:hanging="397"/>
      </w:pPr>
      <w:rPr>
        <w:rFonts w:hint="default"/>
      </w:rPr>
    </w:lvl>
    <w:lvl w:ilvl="1">
      <w:start w:val="1"/>
      <w:numFmt w:val="decimal"/>
      <w:suff w:val="space"/>
      <w:lvlText w:val="%1.%2."/>
      <w:lvlJc w:val="left"/>
      <w:pPr>
        <w:ind w:left="2098" w:hanging="397"/>
      </w:pPr>
      <w:rPr>
        <w:rFonts w:hint="default"/>
      </w:rPr>
    </w:lvl>
    <w:lvl w:ilvl="2">
      <w:start w:val="1"/>
      <w:numFmt w:val="decimal"/>
      <w:suff w:val="space"/>
      <w:lvlText w:val="%1.%2.%3."/>
      <w:lvlJc w:val="left"/>
      <w:pPr>
        <w:ind w:left="2495" w:hanging="397"/>
      </w:pPr>
      <w:rPr>
        <w:rFonts w:hint="default"/>
      </w:rPr>
    </w:lvl>
    <w:lvl w:ilvl="3">
      <w:start w:val="1"/>
      <w:numFmt w:val="decimal"/>
      <w:suff w:val="space"/>
      <w:lvlText w:val="%1.%2.%3.%4."/>
      <w:lvlJc w:val="left"/>
      <w:pPr>
        <w:ind w:left="2892" w:hanging="397"/>
      </w:pPr>
      <w:rPr>
        <w:rFonts w:hint="default"/>
      </w:rPr>
    </w:lvl>
    <w:lvl w:ilvl="4">
      <w:start w:val="1"/>
      <w:numFmt w:val="decimal"/>
      <w:suff w:val="space"/>
      <w:lvlText w:val="%1.%2.%3.%4.%5."/>
      <w:lvlJc w:val="left"/>
      <w:pPr>
        <w:ind w:left="3289" w:hanging="397"/>
      </w:pPr>
      <w:rPr>
        <w:rFonts w:hint="default"/>
      </w:rPr>
    </w:lvl>
    <w:lvl w:ilvl="5">
      <w:start w:val="1"/>
      <w:numFmt w:val="decimal"/>
      <w:suff w:val="space"/>
      <w:lvlText w:val="%1.%2.%3.%4.%5.%6."/>
      <w:lvlJc w:val="left"/>
      <w:pPr>
        <w:ind w:left="3686" w:hanging="397"/>
      </w:pPr>
      <w:rPr>
        <w:rFonts w:hint="default"/>
      </w:rPr>
    </w:lvl>
    <w:lvl w:ilvl="6">
      <w:start w:val="1"/>
      <w:numFmt w:val="decimal"/>
      <w:suff w:val="space"/>
      <w:lvlText w:val="%1.%2.%3.%4.%5.%6.%7."/>
      <w:lvlJc w:val="left"/>
      <w:pPr>
        <w:ind w:left="4083" w:hanging="397"/>
      </w:pPr>
      <w:rPr>
        <w:rFonts w:hint="default"/>
      </w:rPr>
    </w:lvl>
    <w:lvl w:ilvl="7">
      <w:start w:val="1"/>
      <w:numFmt w:val="decimal"/>
      <w:suff w:val="space"/>
      <w:lvlText w:val="%1.%2.%3.%4.%5.%6.%7.%8."/>
      <w:lvlJc w:val="left"/>
      <w:pPr>
        <w:ind w:left="4480" w:hanging="397"/>
      </w:pPr>
      <w:rPr>
        <w:rFonts w:hint="default"/>
      </w:rPr>
    </w:lvl>
    <w:lvl w:ilvl="8">
      <w:start w:val="1"/>
      <w:numFmt w:val="decimal"/>
      <w:suff w:val="space"/>
      <w:lvlText w:val="%1.%2.%3.%4.%5.%6.%7.%8.%9"/>
      <w:lvlJc w:val="left"/>
      <w:pPr>
        <w:ind w:left="4877" w:hanging="397"/>
      </w:pPr>
      <w:rPr>
        <w:rFonts w:hint="default"/>
      </w:rPr>
    </w:lvl>
  </w:abstractNum>
  <w:abstractNum w:abstractNumId="8">
    <w:nsid w:val="1E06146E"/>
    <w:multiLevelType w:val="hybridMultilevel"/>
    <w:tmpl w:val="0A468E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1FE5414E"/>
    <w:multiLevelType w:val="hybridMultilevel"/>
    <w:tmpl w:val="9BA69DD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2061678B"/>
    <w:multiLevelType w:val="hybridMultilevel"/>
    <w:tmpl w:val="9F702CC4"/>
    <w:lvl w:ilvl="0" w:tplc="4532F870">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21B8450E"/>
    <w:multiLevelType w:val="hybridMultilevel"/>
    <w:tmpl w:val="5B0C7196"/>
    <w:lvl w:ilvl="0" w:tplc="1F5EB6E8">
      <w:start w:val="1"/>
      <w:numFmt w:val="decimal"/>
      <w:lvlText w:val="%1)"/>
      <w:lvlJc w:val="left"/>
      <w:pPr>
        <w:ind w:left="360" w:hanging="360"/>
      </w:pPr>
      <w:rPr>
        <w:rFonts w:asciiTheme="minorHAnsi" w:eastAsiaTheme="minorHAnsi" w:hAnsiTheme="minorHAnsi" w:cstheme="minorHAnsi"/>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nsid w:val="22845B8B"/>
    <w:multiLevelType w:val="hybridMultilevel"/>
    <w:tmpl w:val="55F2A64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265F5427"/>
    <w:multiLevelType w:val="hybridMultilevel"/>
    <w:tmpl w:val="6F7667A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26E1497A"/>
    <w:multiLevelType w:val="hybridMultilevel"/>
    <w:tmpl w:val="5C36FBE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2CA32490"/>
    <w:multiLevelType w:val="hybridMultilevel"/>
    <w:tmpl w:val="34225AB6"/>
    <w:lvl w:ilvl="0" w:tplc="040B0011">
      <w:start w:val="1"/>
      <w:numFmt w:val="decimal"/>
      <w:lvlText w:val="%1)"/>
      <w:lvlJc w:val="left"/>
      <w:pPr>
        <w:ind w:left="720" w:hanging="360"/>
      </w:pPr>
      <w:rPr>
        <w:rFonts w:ascii="Times New Roman" w:eastAsia="Times New Roman" w:hAnsi="Times New Roman" w:cs="Times New Roman"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nsid w:val="2D2F266A"/>
    <w:multiLevelType w:val="hybridMultilevel"/>
    <w:tmpl w:val="61D45A2A"/>
    <w:lvl w:ilvl="0" w:tplc="361892C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nsid w:val="35A964E2"/>
    <w:multiLevelType w:val="hybridMultilevel"/>
    <w:tmpl w:val="9ED8328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nsid w:val="39564A84"/>
    <w:multiLevelType w:val="hybridMultilevel"/>
    <w:tmpl w:val="C2CA420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nsid w:val="3A4A7341"/>
    <w:multiLevelType w:val="hybridMultilevel"/>
    <w:tmpl w:val="6A28DF50"/>
    <w:lvl w:ilvl="0" w:tplc="93E88FD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nsid w:val="3B3F2597"/>
    <w:multiLevelType w:val="hybridMultilevel"/>
    <w:tmpl w:val="85F8DF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3CA00A25"/>
    <w:multiLevelType w:val="hybridMultilevel"/>
    <w:tmpl w:val="8106447A"/>
    <w:lvl w:ilvl="0" w:tplc="58D2E76C">
      <w:start w:val="1"/>
      <w:numFmt w:val="bullet"/>
      <w:lvlText w:val=""/>
      <w:lvlJc w:val="left"/>
      <w:pPr>
        <w:ind w:left="720" w:hanging="360"/>
      </w:pPr>
      <w:rPr>
        <w:rFonts w:ascii="Symbol" w:hAnsi="Symbol" w:hint="default"/>
      </w:rPr>
    </w:lvl>
    <w:lvl w:ilvl="1" w:tplc="AB6CD156">
      <w:start w:val="1"/>
      <w:numFmt w:val="bullet"/>
      <w:lvlText w:val="o"/>
      <w:lvlJc w:val="left"/>
      <w:pPr>
        <w:ind w:left="1440" w:hanging="360"/>
      </w:pPr>
      <w:rPr>
        <w:rFonts w:ascii="Courier New" w:hAnsi="Courier New" w:hint="default"/>
      </w:rPr>
    </w:lvl>
    <w:lvl w:ilvl="2" w:tplc="665A2402">
      <w:start w:val="1"/>
      <w:numFmt w:val="bullet"/>
      <w:lvlText w:val=""/>
      <w:lvlJc w:val="left"/>
      <w:pPr>
        <w:ind w:left="2160" w:hanging="360"/>
      </w:pPr>
      <w:rPr>
        <w:rFonts w:ascii="Wingdings" w:hAnsi="Wingdings" w:hint="default"/>
      </w:rPr>
    </w:lvl>
    <w:lvl w:ilvl="3" w:tplc="BD26F768">
      <w:start w:val="1"/>
      <w:numFmt w:val="bullet"/>
      <w:lvlText w:val=""/>
      <w:lvlJc w:val="left"/>
      <w:pPr>
        <w:ind w:left="2880" w:hanging="360"/>
      </w:pPr>
      <w:rPr>
        <w:rFonts w:ascii="Symbol" w:hAnsi="Symbol" w:hint="default"/>
      </w:rPr>
    </w:lvl>
    <w:lvl w:ilvl="4" w:tplc="1A8E3B0C">
      <w:start w:val="1"/>
      <w:numFmt w:val="bullet"/>
      <w:lvlText w:val="o"/>
      <w:lvlJc w:val="left"/>
      <w:pPr>
        <w:ind w:left="3600" w:hanging="360"/>
      </w:pPr>
      <w:rPr>
        <w:rFonts w:ascii="Courier New" w:hAnsi="Courier New" w:hint="default"/>
      </w:rPr>
    </w:lvl>
    <w:lvl w:ilvl="5" w:tplc="9A0C5446">
      <w:start w:val="1"/>
      <w:numFmt w:val="bullet"/>
      <w:lvlText w:val=""/>
      <w:lvlJc w:val="left"/>
      <w:pPr>
        <w:ind w:left="4320" w:hanging="360"/>
      </w:pPr>
      <w:rPr>
        <w:rFonts w:ascii="Wingdings" w:hAnsi="Wingdings" w:hint="default"/>
      </w:rPr>
    </w:lvl>
    <w:lvl w:ilvl="6" w:tplc="87101778">
      <w:start w:val="1"/>
      <w:numFmt w:val="bullet"/>
      <w:lvlText w:val=""/>
      <w:lvlJc w:val="left"/>
      <w:pPr>
        <w:ind w:left="5040" w:hanging="360"/>
      </w:pPr>
      <w:rPr>
        <w:rFonts w:ascii="Symbol" w:hAnsi="Symbol" w:hint="default"/>
      </w:rPr>
    </w:lvl>
    <w:lvl w:ilvl="7" w:tplc="A5822026">
      <w:start w:val="1"/>
      <w:numFmt w:val="bullet"/>
      <w:lvlText w:val="o"/>
      <w:lvlJc w:val="left"/>
      <w:pPr>
        <w:ind w:left="5760" w:hanging="360"/>
      </w:pPr>
      <w:rPr>
        <w:rFonts w:ascii="Courier New" w:hAnsi="Courier New" w:hint="default"/>
      </w:rPr>
    </w:lvl>
    <w:lvl w:ilvl="8" w:tplc="B97C53FE">
      <w:start w:val="1"/>
      <w:numFmt w:val="bullet"/>
      <w:lvlText w:val=""/>
      <w:lvlJc w:val="left"/>
      <w:pPr>
        <w:ind w:left="6480" w:hanging="360"/>
      </w:pPr>
      <w:rPr>
        <w:rFonts w:ascii="Wingdings" w:hAnsi="Wingdings" w:hint="default"/>
      </w:rPr>
    </w:lvl>
  </w:abstractNum>
  <w:abstractNum w:abstractNumId="22">
    <w:nsid w:val="41E81D78"/>
    <w:multiLevelType w:val="hybridMultilevel"/>
    <w:tmpl w:val="7878F2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49B4471C"/>
    <w:multiLevelType w:val="hybridMultilevel"/>
    <w:tmpl w:val="AE20784C"/>
    <w:lvl w:ilvl="0" w:tplc="0C9C419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nsid w:val="4AA84E5A"/>
    <w:multiLevelType w:val="multilevel"/>
    <w:tmpl w:val="BE8A5FD2"/>
    <w:styleLink w:val="Stukmerkittyluettelo2"/>
    <w:lvl w:ilvl="0">
      <w:start w:val="1"/>
      <w:numFmt w:val="bullet"/>
      <w:pStyle w:val="Merkittyluettelo2"/>
      <w:lvlText w:val="–"/>
      <w:lvlJc w:val="left"/>
      <w:pPr>
        <w:ind w:left="1701" w:hanging="397"/>
      </w:pPr>
      <w:rPr>
        <w:rFonts w:ascii="Cambria" w:hAnsi="Cambria" w:hint="default"/>
      </w:rPr>
    </w:lvl>
    <w:lvl w:ilvl="1">
      <w:start w:val="1"/>
      <w:numFmt w:val="bullet"/>
      <w:lvlText w:val="–"/>
      <w:lvlJc w:val="left"/>
      <w:pPr>
        <w:ind w:left="2098" w:hanging="397"/>
      </w:pPr>
      <w:rPr>
        <w:rFonts w:ascii="Cambria" w:hAnsi="Cambria" w:hint="default"/>
      </w:rPr>
    </w:lvl>
    <w:lvl w:ilvl="2">
      <w:start w:val="1"/>
      <w:numFmt w:val="bullet"/>
      <w:lvlText w:val="–"/>
      <w:lvlJc w:val="left"/>
      <w:pPr>
        <w:ind w:left="2495" w:hanging="397"/>
      </w:pPr>
      <w:rPr>
        <w:rFonts w:ascii="Cambria" w:hAnsi="Cambria" w:hint="default"/>
      </w:rPr>
    </w:lvl>
    <w:lvl w:ilvl="3">
      <w:start w:val="1"/>
      <w:numFmt w:val="bullet"/>
      <w:lvlText w:val="–"/>
      <w:lvlJc w:val="left"/>
      <w:pPr>
        <w:ind w:left="2892" w:hanging="397"/>
      </w:pPr>
      <w:rPr>
        <w:rFonts w:ascii="Cambria" w:hAnsi="Cambria" w:hint="default"/>
      </w:rPr>
    </w:lvl>
    <w:lvl w:ilvl="4">
      <w:start w:val="1"/>
      <w:numFmt w:val="bullet"/>
      <w:lvlText w:val="–"/>
      <w:lvlJc w:val="left"/>
      <w:pPr>
        <w:ind w:left="3289" w:hanging="397"/>
      </w:pPr>
      <w:rPr>
        <w:rFonts w:ascii="Cambria" w:hAnsi="Cambria" w:hint="default"/>
      </w:rPr>
    </w:lvl>
    <w:lvl w:ilvl="5">
      <w:start w:val="1"/>
      <w:numFmt w:val="bullet"/>
      <w:lvlText w:val="–"/>
      <w:lvlJc w:val="left"/>
      <w:pPr>
        <w:ind w:left="3686" w:hanging="397"/>
      </w:pPr>
      <w:rPr>
        <w:rFonts w:ascii="Cambria" w:hAnsi="Cambria" w:hint="default"/>
      </w:rPr>
    </w:lvl>
    <w:lvl w:ilvl="6">
      <w:start w:val="1"/>
      <w:numFmt w:val="bullet"/>
      <w:lvlText w:val="–"/>
      <w:lvlJc w:val="left"/>
      <w:pPr>
        <w:ind w:left="4083" w:hanging="397"/>
      </w:pPr>
      <w:rPr>
        <w:rFonts w:ascii="Cambria" w:hAnsi="Cambria" w:hint="default"/>
      </w:rPr>
    </w:lvl>
    <w:lvl w:ilvl="7">
      <w:start w:val="1"/>
      <w:numFmt w:val="bullet"/>
      <w:lvlText w:val="–"/>
      <w:lvlJc w:val="left"/>
      <w:pPr>
        <w:ind w:left="4480" w:hanging="397"/>
      </w:pPr>
      <w:rPr>
        <w:rFonts w:ascii="Cambria" w:hAnsi="Cambria" w:hint="default"/>
      </w:rPr>
    </w:lvl>
    <w:lvl w:ilvl="8">
      <w:start w:val="1"/>
      <w:numFmt w:val="bullet"/>
      <w:lvlText w:val="–"/>
      <w:lvlJc w:val="left"/>
      <w:pPr>
        <w:ind w:left="4877" w:hanging="397"/>
      </w:pPr>
      <w:rPr>
        <w:rFonts w:ascii="Cambria" w:hAnsi="Cambria" w:hint="default"/>
      </w:rPr>
    </w:lvl>
  </w:abstractNum>
  <w:abstractNum w:abstractNumId="25">
    <w:nsid w:val="4C046F07"/>
    <w:multiLevelType w:val="hybridMultilevel"/>
    <w:tmpl w:val="3A8A31B6"/>
    <w:lvl w:ilvl="0" w:tplc="040B000F">
      <w:start w:val="1"/>
      <w:numFmt w:val="decimal"/>
      <w:lvlText w:val="%1."/>
      <w:lvlJc w:val="left"/>
      <w:pPr>
        <w:ind w:left="720" w:hanging="360"/>
      </w:pPr>
      <w:rPr>
        <w:rFonts w:eastAsia="Times New Roman" w:cs="Times New Roman"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nsid w:val="4FC17498"/>
    <w:multiLevelType w:val="hybridMultilevel"/>
    <w:tmpl w:val="39C219A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nsid w:val="5311769E"/>
    <w:multiLevelType w:val="hybridMultilevel"/>
    <w:tmpl w:val="1DEC3AA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nsid w:val="53436596"/>
    <w:multiLevelType w:val="hybridMultilevel"/>
    <w:tmpl w:val="3A8A0FA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nsid w:val="53982AC4"/>
    <w:multiLevelType w:val="hybridMultilevel"/>
    <w:tmpl w:val="1E74C74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nsid w:val="57FF074A"/>
    <w:multiLevelType w:val="hybridMultilevel"/>
    <w:tmpl w:val="A5402698"/>
    <w:lvl w:ilvl="0" w:tplc="D9F427FC">
      <w:start w:val="1"/>
      <w:numFmt w:val="bullet"/>
      <w:lvlText w:val=""/>
      <w:lvlJc w:val="left"/>
      <w:pPr>
        <w:ind w:left="720" w:hanging="360"/>
      </w:pPr>
      <w:rPr>
        <w:rFonts w:ascii="Symbol" w:hAnsi="Symbol" w:hint="default"/>
      </w:rPr>
    </w:lvl>
    <w:lvl w:ilvl="1" w:tplc="618A7990">
      <w:start w:val="1"/>
      <w:numFmt w:val="bullet"/>
      <w:lvlText w:val="o"/>
      <w:lvlJc w:val="left"/>
      <w:pPr>
        <w:ind w:left="1440" w:hanging="360"/>
      </w:pPr>
      <w:rPr>
        <w:rFonts w:ascii="Courier New" w:hAnsi="Courier New" w:hint="default"/>
      </w:rPr>
    </w:lvl>
    <w:lvl w:ilvl="2" w:tplc="09B484E0">
      <w:start w:val="1"/>
      <w:numFmt w:val="bullet"/>
      <w:lvlText w:val=""/>
      <w:lvlJc w:val="left"/>
      <w:pPr>
        <w:ind w:left="2160" w:hanging="360"/>
      </w:pPr>
      <w:rPr>
        <w:rFonts w:ascii="Wingdings" w:hAnsi="Wingdings" w:hint="default"/>
      </w:rPr>
    </w:lvl>
    <w:lvl w:ilvl="3" w:tplc="1BBE8A68">
      <w:start w:val="1"/>
      <w:numFmt w:val="bullet"/>
      <w:lvlText w:val=""/>
      <w:lvlJc w:val="left"/>
      <w:pPr>
        <w:ind w:left="2880" w:hanging="360"/>
      </w:pPr>
      <w:rPr>
        <w:rFonts w:ascii="Symbol" w:hAnsi="Symbol" w:hint="default"/>
      </w:rPr>
    </w:lvl>
    <w:lvl w:ilvl="4" w:tplc="30CC6F48">
      <w:start w:val="1"/>
      <w:numFmt w:val="bullet"/>
      <w:lvlText w:val="o"/>
      <w:lvlJc w:val="left"/>
      <w:pPr>
        <w:ind w:left="3600" w:hanging="360"/>
      </w:pPr>
      <w:rPr>
        <w:rFonts w:ascii="Courier New" w:hAnsi="Courier New" w:hint="default"/>
      </w:rPr>
    </w:lvl>
    <w:lvl w:ilvl="5" w:tplc="B128FB2E">
      <w:start w:val="1"/>
      <w:numFmt w:val="bullet"/>
      <w:lvlText w:val=""/>
      <w:lvlJc w:val="left"/>
      <w:pPr>
        <w:ind w:left="4320" w:hanging="360"/>
      </w:pPr>
      <w:rPr>
        <w:rFonts w:ascii="Wingdings" w:hAnsi="Wingdings" w:hint="default"/>
      </w:rPr>
    </w:lvl>
    <w:lvl w:ilvl="6" w:tplc="DADCE1A6">
      <w:start w:val="1"/>
      <w:numFmt w:val="bullet"/>
      <w:lvlText w:val=""/>
      <w:lvlJc w:val="left"/>
      <w:pPr>
        <w:ind w:left="5040" w:hanging="360"/>
      </w:pPr>
      <w:rPr>
        <w:rFonts w:ascii="Symbol" w:hAnsi="Symbol" w:hint="default"/>
      </w:rPr>
    </w:lvl>
    <w:lvl w:ilvl="7" w:tplc="3C5CF4C8">
      <w:start w:val="1"/>
      <w:numFmt w:val="bullet"/>
      <w:lvlText w:val="o"/>
      <w:lvlJc w:val="left"/>
      <w:pPr>
        <w:ind w:left="5760" w:hanging="360"/>
      </w:pPr>
      <w:rPr>
        <w:rFonts w:ascii="Courier New" w:hAnsi="Courier New" w:hint="default"/>
      </w:rPr>
    </w:lvl>
    <w:lvl w:ilvl="8" w:tplc="2C0C2E40">
      <w:start w:val="1"/>
      <w:numFmt w:val="bullet"/>
      <w:lvlText w:val=""/>
      <w:lvlJc w:val="left"/>
      <w:pPr>
        <w:ind w:left="6480" w:hanging="360"/>
      </w:pPr>
      <w:rPr>
        <w:rFonts w:ascii="Wingdings" w:hAnsi="Wingdings" w:hint="default"/>
      </w:rPr>
    </w:lvl>
  </w:abstractNum>
  <w:abstractNum w:abstractNumId="31">
    <w:nsid w:val="59820990"/>
    <w:multiLevelType w:val="hybridMultilevel"/>
    <w:tmpl w:val="8FC2AA9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nsid w:val="59ED1E8C"/>
    <w:multiLevelType w:val="hybridMultilevel"/>
    <w:tmpl w:val="C134735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nsid w:val="5A913291"/>
    <w:multiLevelType w:val="hybridMultilevel"/>
    <w:tmpl w:val="2924C7DC"/>
    <w:lvl w:ilvl="0" w:tplc="C3005556">
      <w:start w:val="1"/>
      <w:numFmt w:val="bullet"/>
      <w:lvlText w:val=""/>
      <w:lvlJc w:val="left"/>
      <w:pPr>
        <w:ind w:left="720" w:hanging="360"/>
      </w:pPr>
      <w:rPr>
        <w:rFonts w:ascii="Symbol" w:hAnsi="Symbol" w:hint="default"/>
      </w:rPr>
    </w:lvl>
    <w:lvl w:ilvl="1" w:tplc="5394C872">
      <w:start w:val="1"/>
      <w:numFmt w:val="bullet"/>
      <w:lvlText w:val="o"/>
      <w:lvlJc w:val="left"/>
      <w:pPr>
        <w:ind w:left="1440" w:hanging="360"/>
      </w:pPr>
      <w:rPr>
        <w:rFonts w:ascii="Courier New" w:hAnsi="Courier New" w:hint="default"/>
      </w:rPr>
    </w:lvl>
    <w:lvl w:ilvl="2" w:tplc="56068872">
      <w:start w:val="1"/>
      <w:numFmt w:val="bullet"/>
      <w:lvlText w:val=""/>
      <w:lvlJc w:val="left"/>
      <w:pPr>
        <w:ind w:left="2160" w:hanging="360"/>
      </w:pPr>
      <w:rPr>
        <w:rFonts w:ascii="Wingdings" w:hAnsi="Wingdings" w:hint="default"/>
      </w:rPr>
    </w:lvl>
    <w:lvl w:ilvl="3" w:tplc="E368D30A">
      <w:start w:val="1"/>
      <w:numFmt w:val="bullet"/>
      <w:lvlText w:val=""/>
      <w:lvlJc w:val="left"/>
      <w:pPr>
        <w:ind w:left="2880" w:hanging="360"/>
      </w:pPr>
      <w:rPr>
        <w:rFonts w:ascii="Symbol" w:hAnsi="Symbol" w:hint="default"/>
      </w:rPr>
    </w:lvl>
    <w:lvl w:ilvl="4" w:tplc="A14A171C">
      <w:start w:val="1"/>
      <w:numFmt w:val="bullet"/>
      <w:lvlText w:val="o"/>
      <w:lvlJc w:val="left"/>
      <w:pPr>
        <w:ind w:left="3600" w:hanging="360"/>
      </w:pPr>
      <w:rPr>
        <w:rFonts w:ascii="Courier New" w:hAnsi="Courier New" w:hint="default"/>
      </w:rPr>
    </w:lvl>
    <w:lvl w:ilvl="5" w:tplc="FE42CA56">
      <w:start w:val="1"/>
      <w:numFmt w:val="bullet"/>
      <w:lvlText w:val=""/>
      <w:lvlJc w:val="left"/>
      <w:pPr>
        <w:ind w:left="4320" w:hanging="360"/>
      </w:pPr>
      <w:rPr>
        <w:rFonts w:ascii="Wingdings" w:hAnsi="Wingdings" w:hint="default"/>
      </w:rPr>
    </w:lvl>
    <w:lvl w:ilvl="6" w:tplc="D80005A6">
      <w:start w:val="1"/>
      <w:numFmt w:val="bullet"/>
      <w:lvlText w:val=""/>
      <w:lvlJc w:val="left"/>
      <w:pPr>
        <w:ind w:left="5040" w:hanging="360"/>
      </w:pPr>
      <w:rPr>
        <w:rFonts w:ascii="Symbol" w:hAnsi="Symbol" w:hint="default"/>
      </w:rPr>
    </w:lvl>
    <w:lvl w:ilvl="7" w:tplc="016A811A">
      <w:start w:val="1"/>
      <w:numFmt w:val="bullet"/>
      <w:lvlText w:val="o"/>
      <w:lvlJc w:val="left"/>
      <w:pPr>
        <w:ind w:left="5760" w:hanging="360"/>
      </w:pPr>
      <w:rPr>
        <w:rFonts w:ascii="Courier New" w:hAnsi="Courier New" w:hint="default"/>
      </w:rPr>
    </w:lvl>
    <w:lvl w:ilvl="8" w:tplc="467A4388">
      <w:start w:val="1"/>
      <w:numFmt w:val="bullet"/>
      <w:lvlText w:val=""/>
      <w:lvlJc w:val="left"/>
      <w:pPr>
        <w:ind w:left="6480" w:hanging="360"/>
      </w:pPr>
      <w:rPr>
        <w:rFonts w:ascii="Wingdings" w:hAnsi="Wingdings" w:hint="default"/>
      </w:rPr>
    </w:lvl>
  </w:abstractNum>
  <w:abstractNum w:abstractNumId="34">
    <w:nsid w:val="5C3B1E3A"/>
    <w:multiLevelType w:val="hybridMultilevel"/>
    <w:tmpl w:val="804EBCC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nsid w:val="5ED26747"/>
    <w:multiLevelType w:val="hybridMultilevel"/>
    <w:tmpl w:val="D0FAB42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nsid w:val="5EF05A1B"/>
    <w:multiLevelType w:val="hybridMultilevel"/>
    <w:tmpl w:val="EDCC380C"/>
    <w:lvl w:ilvl="0" w:tplc="FFFFFFFF">
      <w:start w:val="1"/>
      <w:numFmt w:val="bullet"/>
      <w:lvlText w:val=""/>
      <w:lvlJc w:val="left"/>
      <w:pPr>
        <w:ind w:left="720" w:hanging="360"/>
      </w:pPr>
      <w:rPr>
        <w:rFonts w:ascii="Symbol" w:hAnsi="Symbol" w:hint="default"/>
      </w:rPr>
    </w:lvl>
    <w:lvl w:ilvl="1" w:tplc="E4E4B938">
      <w:start w:val="1"/>
      <w:numFmt w:val="bullet"/>
      <w:lvlText w:val="o"/>
      <w:lvlJc w:val="left"/>
      <w:pPr>
        <w:ind w:left="1440" w:hanging="360"/>
      </w:pPr>
      <w:rPr>
        <w:rFonts w:ascii="Courier New" w:hAnsi="Courier New" w:hint="default"/>
      </w:rPr>
    </w:lvl>
    <w:lvl w:ilvl="2" w:tplc="209A0778">
      <w:start w:val="1"/>
      <w:numFmt w:val="bullet"/>
      <w:lvlText w:val=""/>
      <w:lvlJc w:val="left"/>
      <w:pPr>
        <w:ind w:left="2160" w:hanging="360"/>
      </w:pPr>
      <w:rPr>
        <w:rFonts w:ascii="Wingdings" w:hAnsi="Wingdings" w:hint="default"/>
      </w:rPr>
    </w:lvl>
    <w:lvl w:ilvl="3" w:tplc="D4987C34">
      <w:start w:val="1"/>
      <w:numFmt w:val="bullet"/>
      <w:lvlText w:val=""/>
      <w:lvlJc w:val="left"/>
      <w:pPr>
        <w:ind w:left="2880" w:hanging="360"/>
      </w:pPr>
      <w:rPr>
        <w:rFonts w:ascii="Symbol" w:hAnsi="Symbol" w:hint="default"/>
      </w:rPr>
    </w:lvl>
    <w:lvl w:ilvl="4" w:tplc="48BEFAAA">
      <w:start w:val="1"/>
      <w:numFmt w:val="bullet"/>
      <w:lvlText w:val="o"/>
      <w:lvlJc w:val="left"/>
      <w:pPr>
        <w:ind w:left="3600" w:hanging="360"/>
      </w:pPr>
      <w:rPr>
        <w:rFonts w:ascii="Courier New" w:hAnsi="Courier New" w:hint="default"/>
      </w:rPr>
    </w:lvl>
    <w:lvl w:ilvl="5" w:tplc="13B45BDE">
      <w:start w:val="1"/>
      <w:numFmt w:val="bullet"/>
      <w:lvlText w:val=""/>
      <w:lvlJc w:val="left"/>
      <w:pPr>
        <w:ind w:left="4320" w:hanging="360"/>
      </w:pPr>
      <w:rPr>
        <w:rFonts w:ascii="Wingdings" w:hAnsi="Wingdings" w:hint="default"/>
      </w:rPr>
    </w:lvl>
    <w:lvl w:ilvl="6" w:tplc="AA1EB416">
      <w:start w:val="1"/>
      <w:numFmt w:val="bullet"/>
      <w:lvlText w:val=""/>
      <w:lvlJc w:val="left"/>
      <w:pPr>
        <w:ind w:left="5040" w:hanging="360"/>
      </w:pPr>
      <w:rPr>
        <w:rFonts w:ascii="Symbol" w:hAnsi="Symbol" w:hint="default"/>
      </w:rPr>
    </w:lvl>
    <w:lvl w:ilvl="7" w:tplc="24A04FA4">
      <w:start w:val="1"/>
      <w:numFmt w:val="bullet"/>
      <w:lvlText w:val="o"/>
      <w:lvlJc w:val="left"/>
      <w:pPr>
        <w:ind w:left="5760" w:hanging="360"/>
      </w:pPr>
      <w:rPr>
        <w:rFonts w:ascii="Courier New" w:hAnsi="Courier New" w:hint="default"/>
      </w:rPr>
    </w:lvl>
    <w:lvl w:ilvl="8" w:tplc="ABD2238E">
      <w:start w:val="1"/>
      <w:numFmt w:val="bullet"/>
      <w:lvlText w:val=""/>
      <w:lvlJc w:val="left"/>
      <w:pPr>
        <w:ind w:left="6480" w:hanging="360"/>
      </w:pPr>
      <w:rPr>
        <w:rFonts w:ascii="Wingdings" w:hAnsi="Wingdings" w:hint="default"/>
      </w:rPr>
    </w:lvl>
  </w:abstractNum>
  <w:abstractNum w:abstractNumId="37">
    <w:nsid w:val="66C55382"/>
    <w:multiLevelType w:val="hybridMultilevel"/>
    <w:tmpl w:val="6840C5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nsid w:val="691B75EE"/>
    <w:multiLevelType w:val="hybridMultilevel"/>
    <w:tmpl w:val="DCFA2670"/>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nsid w:val="70FF2D02"/>
    <w:multiLevelType w:val="hybridMultilevel"/>
    <w:tmpl w:val="3BE42DE8"/>
    <w:lvl w:ilvl="0" w:tplc="A71A2566">
      <w:numFmt w:val="bullet"/>
      <w:lvlText w:val=""/>
      <w:lvlJc w:val="left"/>
      <w:pPr>
        <w:ind w:left="720" w:hanging="360"/>
      </w:pPr>
      <w:rPr>
        <w:rFonts w:ascii="Wingdings" w:eastAsiaTheme="minorEastAsia"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nsid w:val="75CC5D8B"/>
    <w:multiLevelType w:val="hybridMultilevel"/>
    <w:tmpl w:val="C818C6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nsid w:val="75F215E3"/>
    <w:multiLevelType w:val="hybridMultilevel"/>
    <w:tmpl w:val="710424EE"/>
    <w:lvl w:ilvl="0" w:tplc="3F7C03D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nsid w:val="764E6573"/>
    <w:multiLevelType w:val="hybridMultilevel"/>
    <w:tmpl w:val="FE58130E"/>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3">
    <w:nsid w:val="79F45031"/>
    <w:multiLevelType w:val="hybridMultilevel"/>
    <w:tmpl w:val="EF5052F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4">
    <w:nsid w:val="7C9370A8"/>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DBA157B"/>
    <w:multiLevelType w:val="hybridMultilevel"/>
    <w:tmpl w:val="F8D0F63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6">
    <w:nsid w:val="7F9832B0"/>
    <w:multiLevelType w:val="hybridMultilevel"/>
    <w:tmpl w:val="5414D96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3"/>
  </w:num>
  <w:num w:numId="2">
    <w:abstractNumId w:val="2"/>
  </w:num>
  <w:num w:numId="3">
    <w:abstractNumId w:val="24"/>
  </w:num>
  <w:num w:numId="4">
    <w:abstractNumId w:val="7"/>
  </w:num>
  <w:num w:numId="5">
    <w:abstractNumId w:val="7"/>
  </w:num>
  <w:num w:numId="6">
    <w:abstractNumId w:val="3"/>
  </w:num>
  <w:num w:numId="7">
    <w:abstractNumId w:val="24"/>
  </w:num>
  <w:num w:numId="8">
    <w:abstractNumId w:val="2"/>
  </w:num>
  <w:num w:numId="9">
    <w:abstractNumId w:val="32"/>
  </w:num>
  <w:num w:numId="10">
    <w:abstractNumId w:val="29"/>
  </w:num>
  <w:num w:numId="11">
    <w:abstractNumId w:val="28"/>
  </w:num>
  <w:num w:numId="12">
    <w:abstractNumId w:val="17"/>
  </w:num>
  <w:num w:numId="13">
    <w:abstractNumId w:val="43"/>
  </w:num>
  <w:num w:numId="14">
    <w:abstractNumId w:val="8"/>
  </w:num>
  <w:num w:numId="15">
    <w:abstractNumId w:val="26"/>
  </w:num>
  <w:num w:numId="16">
    <w:abstractNumId w:val="9"/>
  </w:num>
  <w:num w:numId="17">
    <w:abstractNumId w:val="1"/>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21"/>
  </w:num>
  <w:num w:numId="21">
    <w:abstractNumId w:val="36"/>
  </w:num>
  <w:num w:numId="22">
    <w:abstractNumId w:val="30"/>
  </w:num>
  <w:num w:numId="23">
    <w:abstractNumId w:val="20"/>
  </w:num>
  <w:num w:numId="24">
    <w:abstractNumId w:val="22"/>
  </w:num>
  <w:num w:numId="25">
    <w:abstractNumId w:val="45"/>
  </w:num>
  <w:num w:numId="26">
    <w:abstractNumId w:val="10"/>
  </w:num>
  <w:num w:numId="27">
    <w:abstractNumId w:val="19"/>
  </w:num>
  <w:num w:numId="28">
    <w:abstractNumId w:val="23"/>
  </w:num>
  <w:num w:numId="29">
    <w:abstractNumId w:val="16"/>
  </w:num>
  <w:num w:numId="30">
    <w:abstractNumId w:val="11"/>
  </w:num>
  <w:num w:numId="31">
    <w:abstractNumId w:val="41"/>
  </w:num>
  <w:num w:numId="32">
    <w:abstractNumId w:val="4"/>
  </w:num>
  <w:num w:numId="33">
    <w:abstractNumId w:val="12"/>
  </w:num>
  <w:num w:numId="34">
    <w:abstractNumId w:val="35"/>
  </w:num>
  <w:num w:numId="35">
    <w:abstractNumId w:val="42"/>
  </w:num>
  <w:num w:numId="36">
    <w:abstractNumId w:val="13"/>
  </w:num>
  <w:num w:numId="37">
    <w:abstractNumId w:val="34"/>
  </w:num>
  <w:num w:numId="38">
    <w:abstractNumId w:val="31"/>
  </w:num>
  <w:num w:numId="39">
    <w:abstractNumId w:val="5"/>
  </w:num>
  <w:num w:numId="40">
    <w:abstractNumId w:val="15"/>
  </w:num>
  <w:num w:numId="41">
    <w:abstractNumId w:val="44"/>
  </w:num>
  <w:num w:numId="42">
    <w:abstractNumId w:val="6"/>
  </w:num>
  <w:num w:numId="43">
    <w:abstractNumId w:val="46"/>
  </w:num>
  <w:num w:numId="44">
    <w:abstractNumId w:val="37"/>
  </w:num>
  <w:num w:numId="45">
    <w:abstractNumId w:val="40"/>
  </w:num>
  <w:num w:numId="46">
    <w:abstractNumId w:val="14"/>
  </w:num>
  <w:num w:numId="47">
    <w:abstractNumId w:val="18"/>
  </w:num>
  <w:num w:numId="48">
    <w:abstractNumId w:val="27"/>
  </w:num>
  <w:num w:numId="49">
    <w:abstractNumId w:val="0"/>
  </w:num>
  <w:num w:numId="50">
    <w:abstractNumId w:val="38"/>
  </w:num>
  <w:num w:numId="51">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hideGrammaticalErrors/>
  <w:trackRevisions/>
  <w:defaultTabStop w:val="1304"/>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AAC"/>
    <w:rsid w:val="00001476"/>
    <w:rsid w:val="00005AB6"/>
    <w:rsid w:val="00007C04"/>
    <w:rsid w:val="000119AD"/>
    <w:rsid w:val="00011B6B"/>
    <w:rsid w:val="000156E2"/>
    <w:rsid w:val="000163CE"/>
    <w:rsid w:val="00030168"/>
    <w:rsid w:val="00035CE3"/>
    <w:rsid w:val="00040B5F"/>
    <w:rsid w:val="00046244"/>
    <w:rsid w:val="000512AF"/>
    <w:rsid w:val="00053A4B"/>
    <w:rsid w:val="00057E9D"/>
    <w:rsid w:val="00060B8F"/>
    <w:rsid w:val="0006232F"/>
    <w:rsid w:val="000623AE"/>
    <w:rsid w:val="00063A5E"/>
    <w:rsid w:val="00065E1F"/>
    <w:rsid w:val="00067709"/>
    <w:rsid w:val="00072A85"/>
    <w:rsid w:val="000742DC"/>
    <w:rsid w:val="000779E4"/>
    <w:rsid w:val="0008076B"/>
    <w:rsid w:val="000807ED"/>
    <w:rsid w:val="0008297C"/>
    <w:rsid w:val="000831A8"/>
    <w:rsid w:val="000A0450"/>
    <w:rsid w:val="000A0A31"/>
    <w:rsid w:val="000A4057"/>
    <w:rsid w:val="000B2864"/>
    <w:rsid w:val="000B54C1"/>
    <w:rsid w:val="000C29A5"/>
    <w:rsid w:val="000C2A59"/>
    <w:rsid w:val="000C3209"/>
    <w:rsid w:val="000E517B"/>
    <w:rsid w:val="000F339B"/>
    <w:rsid w:val="000F7EE8"/>
    <w:rsid w:val="0010092C"/>
    <w:rsid w:val="00102086"/>
    <w:rsid w:val="001022C5"/>
    <w:rsid w:val="0010306E"/>
    <w:rsid w:val="00103365"/>
    <w:rsid w:val="0010469F"/>
    <w:rsid w:val="001110CC"/>
    <w:rsid w:val="00111426"/>
    <w:rsid w:val="00113E3B"/>
    <w:rsid w:val="00115A59"/>
    <w:rsid w:val="00116072"/>
    <w:rsid w:val="001205E4"/>
    <w:rsid w:val="00123550"/>
    <w:rsid w:val="00124ABA"/>
    <w:rsid w:val="001251D3"/>
    <w:rsid w:val="0012726A"/>
    <w:rsid w:val="00132532"/>
    <w:rsid w:val="00133061"/>
    <w:rsid w:val="00134B56"/>
    <w:rsid w:val="0014033B"/>
    <w:rsid w:val="0014119C"/>
    <w:rsid w:val="0014571A"/>
    <w:rsid w:val="00146CB1"/>
    <w:rsid w:val="00147614"/>
    <w:rsid w:val="00153C1E"/>
    <w:rsid w:val="00153DF1"/>
    <w:rsid w:val="00156D17"/>
    <w:rsid w:val="001603BB"/>
    <w:rsid w:val="001617A0"/>
    <w:rsid w:val="00161841"/>
    <w:rsid w:val="00163CCE"/>
    <w:rsid w:val="001649F6"/>
    <w:rsid w:val="001714CD"/>
    <w:rsid w:val="00171621"/>
    <w:rsid w:val="00173543"/>
    <w:rsid w:val="0017519E"/>
    <w:rsid w:val="0018171D"/>
    <w:rsid w:val="00181DC9"/>
    <w:rsid w:val="0019002A"/>
    <w:rsid w:val="0019053C"/>
    <w:rsid w:val="001937BA"/>
    <w:rsid w:val="001A06F9"/>
    <w:rsid w:val="001A4FCE"/>
    <w:rsid w:val="001B08E6"/>
    <w:rsid w:val="001B1ABE"/>
    <w:rsid w:val="001B2972"/>
    <w:rsid w:val="001B2D39"/>
    <w:rsid w:val="001B7B41"/>
    <w:rsid w:val="001C411C"/>
    <w:rsid w:val="001D0831"/>
    <w:rsid w:val="001D57E2"/>
    <w:rsid w:val="001D699C"/>
    <w:rsid w:val="001E281D"/>
    <w:rsid w:val="001E38F7"/>
    <w:rsid w:val="001E4250"/>
    <w:rsid w:val="001E6EAE"/>
    <w:rsid w:val="001F1521"/>
    <w:rsid w:val="001F1CA7"/>
    <w:rsid w:val="001F3209"/>
    <w:rsid w:val="001F6376"/>
    <w:rsid w:val="0020021D"/>
    <w:rsid w:val="002043C9"/>
    <w:rsid w:val="00205851"/>
    <w:rsid w:val="00205FA8"/>
    <w:rsid w:val="00212611"/>
    <w:rsid w:val="00225059"/>
    <w:rsid w:val="00233258"/>
    <w:rsid w:val="00234D19"/>
    <w:rsid w:val="00235BB3"/>
    <w:rsid w:val="00237578"/>
    <w:rsid w:val="00237B01"/>
    <w:rsid w:val="00247260"/>
    <w:rsid w:val="00250947"/>
    <w:rsid w:val="0025116C"/>
    <w:rsid w:val="00257975"/>
    <w:rsid w:val="00262A2D"/>
    <w:rsid w:val="00263C07"/>
    <w:rsid w:val="00264297"/>
    <w:rsid w:val="00270746"/>
    <w:rsid w:val="002712D0"/>
    <w:rsid w:val="00272B94"/>
    <w:rsid w:val="00285B3F"/>
    <w:rsid w:val="002902D9"/>
    <w:rsid w:val="00290D92"/>
    <w:rsid w:val="002A1D3B"/>
    <w:rsid w:val="002A1FE6"/>
    <w:rsid w:val="002A2B00"/>
    <w:rsid w:val="002A46F3"/>
    <w:rsid w:val="002A5928"/>
    <w:rsid w:val="002B49CC"/>
    <w:rsid w:val="002B4D17"/>
    <w:rsid w:val="002B7126"/>
    <w:rsid w:val="002B7659"/>
    <w:rsid w:val="002C30E8"/>
    <w:rsid w:val="002C5634"/>
    <w:rsid w:val="002D0FCC"/>
    <w:rsid w:val="002D2B25"/>
    <w:rsid w:val="002D3AAC"/>
    <w:rsid w:val="002D3B2E"/>
    <w:rsid w:val="002D6FE8"/>
    <w:rsid w:val="002E0166"/>
    <w:rsid w:val="002F0877"/>
    <w:rsid w:val="0030381A"/>
    <w:rsid w:val="00310215"/>
    <w:rsid w:val="00311B67"/>
    <w:rsid w:val="00313970"/>
    <w:rsid w:val="00317105"/>
    <w:rsid w:val="0032195D"/>
    <w:rsid w:val="00324991"/>
    <w:rsid w:val="00325922"/>
    <w:rsid w:val="003320E9"/>
    <w:rsid w:val="003339A5"/>
    <w:rsid w:val="0033697C"/>
    <w:rsid w:val="00340EE3"/>
    <w:rsid w:val="00342EC3"/>
    <w:rsid w:val="00347141"/>
    <w:rsid w:val="00353E24"/>
    <w:rsid w:val="00353ED4"/>
    <w:rsid w:val="0035606F"/>
    <w:rsid w:val="003566FC"/>
    <w:rsid w:val="00363B63"/>
    <w:rsid w:val="00363CFF"/>
    <w:rsid w:val="00365552"/>
    <w:rsid w:val="00365844"/>
    <w:rsid w:val="00366002"/>
    <w:rsid w:val="00367189"/>
    <w:rsid w:val="00374F0F"/>
    <w:rsid w:val="00376EBF"/>
    <w:rsid w:val="003864E6"/>
    <w:rsid w:val="00387D93"/>
    <w:rsid w:val="003914D6"/>
    <w:rsid w:val="00395845"/>
    <w:rsid w:val="00396E2A"/>
    <w:rsid w:val="003A1E52"/>
    <w:rsid w:val="003A246D"/>
    <w:rsid w:val="003B3935"/>
    <w:rsid w:val="003B665D"/>
    <w:rsid w:val="003B78BF"/>
    <w:rsid w:val="003C4435"/>
    <w:rsid w:val="003C679F"/>
    <w:rsid w:val="003D0FB0"/>
    <w:rsid w:val="003D1034"/>
    <w:rsid w:val="003D5046"/>
    <w:rsid w:val="003D5AA1"/>
    <w:rsid w:val="003F2034"/>
    <w:rsid w:val="003F2604"/>
    <w:rsid w:val="003F3DC4"/>
    <w:rsid w:val="003F6516"/>
    <w:rsid w:val="0040191A"/>
    <w:rsid w:val="0040333C"/>
    <w:rsid w:val="00404607"/>
    <w:rsid w:val="00406EE1"/>
    <w:rsid w:val="00416109"/>
    <w:rsid w:val="00420E1F"/>
    <w:rsid w:val="00422F4D"/>
    <w:rsid w:val="00424000"/>
    <w:rsid w:val="0042699B"/>
    <w:rsid w:val="00427854"/>
    <w:rsid w:val="00427871"/>
    <w:rsid w:val="00433452"/>
    <w:rsid w:val="00440B9C"/>
    <w:rsid w:val="004466AD"/>
    <w:rsid w:val="00447B97"/>
    <w:rsid w:val="00457139"/>
    <w:rsid w:val="004574B7"/>
    <w:rsid w:val="0046672F"/>
    <w:rsid w:val="00467DBB"/>
    <w:rsid w:val="00471AA6"/>
    <w:rsid w:val="00471E40"/>
    <w:rsid w:val="004762A7"/>
    <w:rsid w:val="00476B45"/>
    <w:rsid w:val="00477072"/>
    <w:rsid w:val="004807A7"/>
    <w:rsid w:val="00483D9D"/>
    <w:rsid w:val="00491142"/>
    <w:rsid w:val="00491AF0"/>
    <w:rsid w:val="004A04CB"/>
    <w:rsid w:val="004A158E"/>
    <w:rsid w:val="004B1C70"/>
    <w:rsid w:val="004C2A6D"/>
    <w:rsid w:val="004C3AC8"/>
    <w:rsid w:val="004C483A"/>
    <w:rsid w:val="004C5DF6"/>
    <w:rsid w:val="004C73AE"/>
    <w:rsid w:val="004D3EC6"/>
    <w:rsid w:val="004D61DE"/>
    <w:rsid w:val="004D7E43"/>
    <w:rsid w:val="004E2A2F"/>
    <w:rsid w:val="004E447A"/>
    <w:rsid w:val="004E59DC"/>
    <w:rsid w:val="004E5A43"/>
    <w:rsid w:val="004E5DE4"/>
    <w:rsid w:val="004F264C"/>
    <w:rsid w:val="004F2D23"/>
    <w:rsid w:val="004F34BA"/>
    <w:rsid w:val="00501A31"/>
    <w:rsid w:val="00504E50"/>
    <w:rsid w:val="00506314"/>
    <w:rsid w:val="00506342"/>
    <w:rsid w:val="00506442"/>
    <w:rsid w:val="00511D25"/>
    <w:rsid w:val="00514655"/>
    <w:rsid w:val="00514DC0"/>
    <w:rsid w:val="005171A0"/>
    <w:rsid w:val="00517B00"/>
    <w:rsid w:val="00517DEC"/>
    <w:rsid w:val="005446C7"/>
    <w:rsid w:val="005449C8"/>
    <w:rsid w:val="00550FC7"/>
    <w:rsid w:val="005547B5"/>
    <w:rsid w:val="00560D7E"/>
    <w:rsid w:val="00566484"/>
    <w:rsid w:val="00571A53"/>
    <w:rsid w:val="00571ABC"/>
    <w:rsid w:val="00575D52"/>
    <w:rsid w:val="005771D4"/>
    <w:rsid w:val="00581485"/>
    <w:rsid w:val="005819BF"/>
    <w:rsid w:val="005840F6"/>
    <w:rsid w:val="00584727"/>
    <w:rsid w:val="00584C60"/>
    <w:rsid w:val="00584D84"/>
    <w:rsid w:val="0058655E"/>
    <w:rsid w:val="00595BAB"/>
    <w:rsid w:val="00597410"/>
    <w:rsid w:val="005B3F23"/>
    <w:rsid w:val="005C3872"/>
    <w:rsid w:val="005C5CC2"/>
    <w:rsid w:val="005D412D"/>
    <w:rsid w:val="005E0F36"/>
    <w:rsid w:val="005F3168"/>
    <w:rsid w:val="005F516A"/>
    <w:rsid w:val="005F79EF"/>
    <w:rsid w:val="005F7CE0"/>
    <w:rsid w:val="006014C3"/>
    <w:rsid w:val="006029D0"/>
    <w:rsid w:val="00603767"/>
    <w:rsid w:val="00604A2A"/>
    <w:rsid w:val="00606EAC"/>
    <w:rsid w:val="00607408"/>
    <w:rsid w:val="00614118"/>
    <w:rsid w:val="00616608"/>
    <w:rsid w:val="0061744C"/>
    <w:rsid w:val="00624C57"/>
    <w:rsid w:val="006268CF"/>
    <w:rsid w:val="00627869"/>
    <w:rsid w:val="00635101"/>
    <w:rsid w:val="00636394"/>
    <w:rsid w:val="00637FBC"/>
    <w:rsid w:val="006458C7"/>
    <w:rsid w:val="00646988"/>
    <w:rsid w:val="0065696B"/>
    <w:rsid w:val="00660640"/>
    <w:rsid w:val="00661E32"/>
    <w:rsid w:val="00665242"/>
    <w:rsid w:val="0066653D"/>
    <w:rsid w:val="00680ECC"/>
    <w:rsid w:val="00684684"/>
    <w:rsid w:val="0068692C"/>
    <w:rsid w:val="006954FF"/>
    <w:rsid w:val="006A22AF"/>
    <w:rsid w:val="006A39CC"/>
    <w:rsid w:val="006B172D"/>
    <w:rsid w:val="006B5C14"/>
    <w:rsid w:val="006B7B83"/>
    <w:rsid w:val="006C3334"/>
    <w:rsid w:val="006C7A03"/>
    <w:rsid w:val="006D1744"/>
    <w:rsid w:val="006E08DD"/>
    <w:rsid w:val="006E2B6B"/>
    <w:rsid w:val="006E6F28"/>
    <w:rsid w:val="006F05DF"/>
    <w:rsid w:val="006F20F2"/>
    <w:rsid w:val="006F2366"/>
    <w:rsid w:val="006F583B"/>
    <w:rsid w:val="00703A50"/>
    <w:rsid w:val="00714577"/>
    <w:rsid w:val="00720078"/>
    <w:rsid w:val="00720B20"/>
    <w:rsid w:val="007232D8"/>
    <w:rsid w:val="00723F71"/>
    <w:rsid w:val="007360C0"/>
    <w:rsid w:val="007423CE"/>
    <w:rsid w:val="00747C68"/>
    <w:rsid w:val="007514C5"/>
    <w:rsid w:val="00751D1D"/>
    <w:rsid w:val="00752CE1"/>
    <w:rsid w:val="0075343D"/>
    <w:rsid w:val="0075430B"/>
    <w:rsid w:val="00755973"/>
    <w:rsid w:val="007637AA"/>
    <w:rsid w:val="007651D3"/>
    <w:rsid w:val="007660A6"/>
    <w:rsid w:val="00770361"/>
    <w:rsid w:val="0077391D"/>
    <w:rsid w:val="0077703C"/>
    <w:rsid w:val="00777B32"/>
    <w:rsid w:val="007928EC"/>
    <w:rsid w:val="00794FD1"/>
    <w:rsid w:val="007958CD"/>
    <w:rsid w:val="007A02B2"/>
    <w:rsid w:val="007A5C94"/>
    <w:rsid w:val="007A628E"/>
    <w:rsid w:val="007A7906"/>
    <w:rsid w:val="007B0984"/>
    <w:rsid w:val="007B1BF1"/>
    <w:rsid w:val="007B2C67"/>
    <w:rsid w:val="007B6040"/>
    <w:rsid w:val="007B7286"/>
    <w:rsid w:val="007C0049"/>
    <w:rsid w:val="007C6CDF"/>
    <w:rsid w:val="007D4105"/>
    <w:rsid w:val="007D6166"/>
    <w:rsid w:val="007E046C"/>
    <w:rsid w:val="007E141A"/>
    <w:rsid w:val="007E41C9"/>
    <w:rsid w:val="007E56D5"/>
    <w:rsid w:val="007E79F5"/>
    <w:rsid w:val="007F696F"/>
    <w:rsid w:val="007F7BA0"/>
    <w:rsid w:val="0080065A"/>
    <w:rsid w:val="00801DC5"/>
    <w:rsid w:val="00805732"/>
    <w:rsid w:val="00806AB2"/>
    <w:rsid w:val="008142E1"/>
    <w:rsid w:val="00822692"/>
    <w:rsid w:val="00823C0B"/>
    <w:rsid w:val="00824934"/>
    <w:rsid w:val="0082794C"/>
    <w:rsid w:val="00832A87"/>
    <w:rsid w:val="00841EAA"/>
    <w:rsid w:val="0084382D"/>
    <w:rsid w:val="008441A0"/>
    <w:rsid w:val="00847D78"/>
    <w:rsid w:val="00847E73"/>
    <w:rsid w:val="008505DD"/>
    <w:rsid w:val="00852572"/>
    <w:rsid w:val="00853361"/>
    <w:rsid w:val="00855F16"/>
    <w:rsid w:val="008572AD"/>
    <w:rsid w:val="00857433"/>
    <w:rsid w:val="00865F79"/>
    <w:rsid w:val="00873911"/>
    <w:rsid w:val="00876678"/>
    <w:rsid w:val="00882523"/>
    <w:rsid w:val="00891CF9"/>
    <w:rsid w:val="0089217B"/>
    <w:rsid w:val="008A1A2F"/>
    <w:rsid w:val="008B1652"/>
    <w:rsid w:val="008B4618"/>
    <w:rsid w:val="008B7AD2"/>
    <w:rsid w:val="008B7BD8"/>
    <w:rsid w:val="008C0146"/>
    <w:rsid w:val="008C3567"/>
    <w:rsid w:val="008C3AED"/>
    <w:rsid w:val="008C42D4"/>
    <w:rsid w:val="008D2CD4"/>
    <w:rsid w:val="008D388A"/>
    <w:rsid w:val="008D50D3"/>
    <w:rsid w:val="008D73EF"/>
    <w:rsid w:val="008E5D7E"/>
    <w:rsid w:val="008F0B2E"/>
    <w:rsid w:val="008F1AFA"/>
    <w:rsid w:val="008F34D5"/>
    <w:rsid w:val="009006A7"/>
    <w:rsid w:val="00904A52"/>
    <w:rsid w:val="00911FA0"/>
    <w:rsid w:val="009140FC"/>
    <w:rsid w:val="009160CE"/>
    <w:rsid w:val="00917B5A"/>
    <w:rsid w:val="00921E5A"/>
    <w:rsid w:val="009339FF"/>
    <w:rsid w:val="009365E0"/>
    <w:rsid w:val="00937213"/>
    <w:rsid w:val="009401F3"/>
    <w:rsid w:val="0094234A"/>
    <w:rsid w:val="009467EA"/>
    <w:rsid w:val="00950057"/>
    <w:rsid w:val="00951CCD"/>
    <w:rsid w:val="00955175"/>
    <w:rsid w:val="00956538"/>
    <w:rsid w:val="009603C2"/>
    <w:rsid w:val="00963744"/>
    <w:rsid w:val="00976583"/>
    <w:rsid w:val="00977FD0"/>
    <w:rsid w:val="00987C8F"/>
    <w:rsid w:val="00992F9E"/>
    <w:rsid w:val="009B2985"/>
    <w:rsid w:val="009B5F68"/>
    <w:rsid w:val="009C0ED0"/>
    <w:rsid w:val="009C20D6"/>
    <w:rsid w:val="009D0792"/>
    <w:rsid w:val="009D2322"/>
    <w:rsid w:val="009E04F0"/>
    <w:rsid w:val="009E527B"/>
    <w:rsid w:val="009E56A6"/>
    <w:rsid w:val="009F56F8"/>
    <w:rsid w:val="009F6082"/>
    <w:rsid w:val="00A01718"/>
    <w:rsid w:val="00A06606"/>
    <w:rsid w:val="00A15B2B"/>
    <w:rsid w:val="00A20051"/>
    <w:rsid w:val="00A24A03"/>
    <w:rsid w:val="00A26630"/>
    <w:rsid w:val="00A27355"/>
    <w:rsid w:val="00A3301C"/>
    <w:rsid w:val="00A3463B"/>
    <w:rsid w:val="00A42B36"/>
    <w:rsid w:val="00A55A92"/>
    <w:rsid w:val="00A60AA1"/>
    <w:rsid w:val="00A630BD"/>
    <w:rsid w:val="00A63383"/>
    <w:rsid w:val="00A64D82"/>
    <w:rsid w:val="00A6711B"/>
    <w:rsid w:val="00A67AA4"/>
    <w:rsid w:val="00A7713D"/>
    <w:rsid w:val="00A847FF"/>
    <w:rsid w:val="00A85076"/>
    <w:rsid w:val="00A85E56"/>
    <w:rsid w:val="00A9254A"/>
    <w:rsid w:val="00A946E2"/>
    <w:rsid w:val="00A966D8"/>
    <w:rsid w:val="00A9799E"/>
    <w:rsid w:val="00A97AD6"/>
    <w:rsid w:val="00AA2D49"/>
    <w:rsid w:val="00AA4220"/>
    <w:rsid w:val="00AA475E"/>
    <w:rsid w:val="00AA5BD6"/>
    <w:rsid w:val="00AA734D"/>
    <w:rsid w:val="00AB0C30"/>
    <w:rsid w:val="00AB143C"/>
    <w:rsid w:val="00AB1DA1"/>
    <w:rsid w:val="00AB3703"/>
    <w:rsid w:val="00AB42BB"/>
    <w:rsid w:val="00AB6B94"/>
    <w:rsid w:val="00AB6C12"/>
    <w:rsid w:val="00AC6D6A"/>
    <w:rsid w:val="00AD022D"/>
    <w:rsid w:val="00AD2AB0"/>
    <w:rsid w:val="00AD59F1"/>
    <w:rsid w:val="00AD63CB"/>
    <w:rsid w:val="00AE0F90"/>
    <w:rsid w:val="00AE43FF"/>
    <w:rsid w:val="00AE639A"/>
    <w:rsid w:val="00AF6281"/>
    <w:rsid w:val="00AF7907"/>
    <w:rsid w:val="00B0519F"/>
    <w:rsid w:val="00B11C76"/>
    <w:rsid w:val="00B12B17"/>
    <w:rsid w:val="00B16234"/>
    <w:rsid w:val="00B1762A"/>
    <w:rsid w:val="00B2051E"/>
    <w:rsid w:val="00B2180D"/>
    <w:rsid w:val="00B27191"/>
    <w:rsid w:val="00B30253"/>
    <w:rsid w:val="00B36BB1"/>
    <w:rsid w:val="00B37DC2"/>
    <w:rsid w:val="00B40923"/>
    <w:rsid w:val="00B41C8C"/>
    <w:rsid w:val="00B41F43"/>
    <w:rsid w:val="00B4322F"/>
    <w:rsid w:val="00B4379F"/>
    <w:rsid w:val="00B45260"/>
    <w:rsid w:val="00B45E5D"/>
    <w:rsid w:val="00B51CA6"/>
    <w:rsid w:val="00B51FFA"/>
    <w:rsid w:val="00B52CF0"/>
    <w:rsid w:val="00B5307F"/>
    <w:rsid w:val="00B543C8"/>
    <w:rsid w:val="00B56B3D"/>
    <w:rsid w:val="00B6560A"/>
    <w:rsid w:val="00B7672F"/>
    <w:rsid w:val="00B77F6B"/>
    <w:rsid w:val="00B8415D"/>
    <w:rsid w:val="00B9151B"/>
    <w:rsid w:val="00B921F9"/>
    <w:rsid w:val="00BA215C"/>
    <w:rsid w:val="00BA4976"/>
    <w:rsid w:val="00BA509C"/>
    <w:rsid w:val="00BA7725"/>
    <w:rsid w:val="00BA77A8"/>
    <w:rsid w:val="00BB1E55"/>
    <w:rsid w:val="00BB204E"/>
    <w:rsid w:val="00BB62D5"/>
    <w:rsid w:val="00BB7695"/>
    <w:rsid w:val="00BB7C97"/>
    <w:rsid w:val="00BC013C"/>
    <w:rsid w:val="00BC5678"/>
    <w:rsid w:val="00BD1B0A"/>
    <w:rsid w:val="00BD423F"/>
    <w:rsid w:val="00BD7654"/>
    <w:rsid w:val="00BE7C3F"/>
    <w:rsid w:val="00BF3BC2"/>
    <w:rsid w:val="00BF4ED5"/>
    <w:rsid w:val="00BF5DFA"/>
    <w:rsid w:val="00BF638E"/>
    <w:rsid w:val="00BF7E4E"/>
    <w:rsid w:val="00C00AD5"/>
    <w:rsid w:val="00C00B96"/>
    <w:rsid w:val="00C0155F"/>
    <w:rsid w:val="00C04616"/>
    <w:rsid w:val="00C07A90"/>
    <w:rsid w:val="00C1056E"/>
    <w:rsid w:val="00C1090C"/>
    <w:rsid w:val="00C124AD"/>
    <w:rsid w:val="00C203F0"/>
    <w:rsid w:val="00C21E3E"/>
    <w:rsid w:val="00C2762C"/>
    <w:rsid w:val="00C301F7"/>
    <w:rsid w:val="00C312DA"/>
    <w:rsid w:val="00C31805"/>
    <w:rsid w:val="00C3194A"/>
    <w:rsid w:val="00C31BCE"/>
    <w:rsid w:val="00C376DF"/>
    <w:rsid w:val="00C406CB"/>
    <w:rsid w:val="00C40F3D"/>
    <w:rsid w:val="00C41574"/>
    <w:rsid w:val="00C546AD"/>
    <w:rsid w:val="00C553B8"/>
    <w:rsid w:val="00C554BD"/>
    <w:rsid w:val="00C5568D"/>
    <w:rsid w:val="00C6457F"/>
    <w:rsid w:val="00C65295"/>
    <w:rsid w:val="00C66DC3"/>
    <w:rsid w:val="00C743AD"/>
    <w:rsid w:val="00C779C2"/>
    <w:rsid w:val="00C84F76"/>
    <w:rsid w:val="00C911E2"/>
    <w:rsid w:val="00C92FA7"/>
    <w:rsid w:val="00CA7EEA"/>
    <w:rsid w:val="00CB1AE1"/>
    <w:rsid w:val="00CB58FA"/>
    <w:rsid w:val="00CC2A6C"/>
    <w:rsid w:val="00CC3ED2"/>
    <w:rsid w:val="00CE0CBA"/>
    <w:rsid w:val="00CE4EB8"/>
    <w:rsid w:val="00CE5141"/>
    <w:rsid w:val="00CE7CFF"/>
    <w:rsid w:val="00CF5191"/>
    <w:rsid w:val="00CF6412"/>
    <w:rsid w:val="00D00F55"/>
    <w:rsid w:val="00D02124"/>
    <w:rsid w:val="00D04590"/>
    <w:rsid w:val="00D07B53"/>
    <w:rsid w:val="00D108BD"/>
    <w:rsid w:val="00D17A57"/>
    <w:rsid w:val="00D22288"/>
    <w:rsid w:val="00D24A08"/>
    <w:rsid w:val="00D34FBB"/>
    <w:rsid w:val="00D538E7"/>
    <w:rsid w:val="00D612B9"/>
    <w:rsid w:val="00D722EC"/>
    <w:rsid w:val="00D82698"/>
    <w:rsid w:val="00D85BBA"/>
    <w:rsid w:val="00D85C70"/>
    <w:rsid w:val="00D8606D"/>
    <w:rsid w:val="00D919C6"/>
    <w:rsid w:val="00D93685"/>
    <w:rsid w:val="00D936D0"/>
    <w:rsid w:val="00D943DE"/>
    <w:rsid w:val="00DA2189"/>
    <w:rsid w:val="00DA4E64"/>
    <w:rsid w:val="00DA5A1E"/>
    <w:rsid w:val="00DA7D29"/>
    <w:rsid w:val="00DB1C0C"/>
    <w:rsid w:val="00DB2A2E"/>
    <w:rsid w:val="00DB60B4"/>
    <w:rsid w:val="00DC0958"/>
    <w:rsid w:val="00DC22B3"/>
    <w:rsid w:val="00DC442D"/>
    <w:rsid w:val="00DD091B"/>
    <w:rsid w:val="00DD2EBA"/>
    <w:rsid w:val="00DD366F"/>
    <w:rsid w:val="00DD5D48"/>
    <w:rsid w:val="00DD66CF"/>
    <w:rsid w:val="00DE28F6"/>
    <w:rsid w:val="00DE2DEA"/>
    <w:rsid w:val="00DE3DA4"/>
    <w:rsid w:val="00DE5D29"/>
    <w:rsid w:val="00DE6FF7"/>
    <w:rsid w:val="00DF1897"/>
    <w:rsid w:val="00E027DD"/>
    <w:rsid w:val="00E066A4"/>
    <w:rsid w:val="00E06D99"/>
    <w:rsid w:val="00E1070B"/>
    <w:rsid w:val="00E14E05"/>
    <w:rsid w:val="00E2191C"/>
    <w:rsid w:val="00E223C1"/>
    <w:rsid w:val="00E24778"/>
    <w:rsid w:val="00E248AA"/>
    <w:rsid w:val="00E2658A"/>
    <w:rsid w:val="00E27037"/>
    <w:rsid w:val="00E31561"/>
    <w:rsid w:val="00E36ADA"/>
    <w:rsid w:val="00E4306F"/>
    <w:rsid w:val="00E5100F"/>
    <w:rsid w:val="00E5283D"/>
    <w:rsid w:val="00E52870"/>
    <w:rsid w:val="00E618AA"/>
    <w:rsid w:val="00E62057"/>
    <w:rsid w:val="00E666D9"/>
    <w:rsid w:val="00E7710D"/>
    <w:rsid w:val="00E811BD"/>
    <w:rsid w:val="00E81ADA"/>
    <w:rsid w:val="00E86079"/>
    <w:rsid w:val="00E86D24"/>
    <w:rsid w:val="00E879E1"/>
    <w:rsid w:val="00E9257B"/>
    <w:rsid w:val="00E9675D"/>
    <w:rsid w:val="00EA6A6C"/>
    <w:rsid w:val="00EB036D"/>
    <w:rsid w:val="00EB1F1A"/>
    <w:rsid w:val="00EB4275"/>
    <w:rsid w:val="00EB6D55"/>
    <w:rsid w:val="00EC04B3"/>
    <w:rsid w:val="00EC05D2"/>
    <w:rsid w:val="00EC5B69"/>
    <w:rsid w:val="00EC7AA4"/>
    <w:rsid w:val="00ED0E66"/>
    <w:rsid w:val="00EE2278"/>
    <w:rsid w:val="00EE282A"/>
    <w:rsid w:val="00EE3912"/>
    <w:rsid w:val="00EF5BD7"/>
    <w:rsid w:val="00EF6512"/>
    <w:rsid w:val="00EF65AD"/>
    <w:rsid w:val="00F00A3D"/>
    <w:rsid w:val="00F011EC"/>
    <w:rsid w:val="00F025A0"/>
    <w:rsid w:val="00F02D36"/>
    <w:rsid w:val="00F03BA0"/>
    <w:rsid w:val="00F127B5"/>
    <w:rsid w:val="00F17D0B"/>
    <w:rsid w:val="00F207F2"/>
    <w:rsid w:val="00F249D9"/>
    <w:rsid w:val="00F267FE"/>
    <w:rsid w:val="00F26CAB"/>
    <w:rsid w:val="00F346E6"/>
    <w:rsid w:val="00F36D09"/>
    <w:rsid w:val="00F37899"/>
    <w:rsid w:val="00F41E85"/>
    <w:rsid w:val="00F45121"/>
    <w:rsid w:val="00F45E82"/>
    <w:rsid w:val="00F46B07"/>
    <w:rsid w:val="00F4706D"/>
    <w:rsid w:val="00F47604"/>
    <w:rsid w:val="00F47D33"/>
    <w:rsid w:val="00F52C8D"/>
    <w:rsid w:val="00F60697"/>
    <w:rsid w:val="00F613B6"/>
    <w:rsid w:val="00F67A6E"/>
    <w:rsid w:val="00F67D1E"/>
    <w:rsid w:val="00F71915"/>
    <w:rsid w:val="00F738C4"/>
    <w:rsid w:val="00F7414C"/>
    <w:rsid w:val="00F76D84"/>
    <w:rsid w:val="00F85EA7"/>
    <w:rsid w:val="00F874D8"/>
    <w:rsid w:val="00F96D3E"/>
    <w:rsid w:val="00F97D89"/>
    <w:rsid w:val="00FA3B44"/>
    <w:rsid w:val="00FB795D"/>
    <w:rsid w:val="00FB7B4C"/>
    <w:rsid w:val="00FC1525"/>
    <w:rsid w:val="00FC223B"/>
    <w:rsid w:val="00FC370B"/>
    <w:rsid w:val="00FD1D93"/>
    <w:rsid w:val="00FE39E6"/>
    <w:rsid w:val="00FE4BA9"/>
    <w:rsid w:val="00FF08C7"/>
    <w:rsid w:val="00FF3C53"/>
    <w:rsid w:val="00FF77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7EE1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Body Text" w:uiPriority="0"/>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ali">
    <w:name w:val="Normal"/>
    <w:qFormat/>
    <w:rsid w:val="002D3AAC"/>
  </w:style>
  <w:style w:type="paragraph" w:styleId="Otsikko1">
    <w:name w:val="heading 1"/>
    <w:basedOn w:val="Normaali"/>
    <w:next w:val="Normaali"/>
    <w:link w:val="Otsikko1Char"/>
    <w:uiPriority w:val="9"/>
    <w:qFormat/>
    <w:rsid w:val="002D3AAC"/>
    <w:pPr>
      <w:keepNext/>
      <w:keepLines/>
      <w:spacing w:before="480" w:after="0"/>
      <w:outlineLvl w:val="0"/>
    </w:pPr>
    <w:rPr>
      <w:rFonts w:asciiTheme="majorHAnsi" w:eastAsiaTheme="majorEastAsia" w:hAnsiTheme="majorHAnsi" w:cstheme="majorBidi"/>
      <w:b/>
      <w:bCs/>
      <w:color w:val="003871" w:themeColor="accent1" w:themeShade="BF"/>
      <w:sz w:val="28"/>
      <w:szCs w:val="28"/>
    </w:rPr>
  </w:style>
  <w:style w:type="paragraph" w:styleId="Otsikko2">
    <w:name w:val="heading 2"/>
    <w:basedOn w:val="Normaali"/>
    <w:next w:val="Normaali"/>
    <w:link w:val="Otsikko2Char"/>
    <w:uiPriority w:val="9"/>
    <w:unhideWhenUsed/>
    <w:qFormat/>
    <w:rsid w:val="002D3AAC"/>
    <w:pPr>
      <w:keepNext/>
      <w:keepLines/>
      <w:spacing w:before="200" w:after="0"/>
      <w:outlineLvl w:val="1"/>
    </w:pPr>
    <w:rPr>
      <w:rFonts w:asciiTheme="majorHAnsi" w:eastAsiaTheme="majorEastAsia" w:hAnsiTheme="majorHAnsi" w:cstheme="majorBidi"/>
      <w:b/>
      <w:bCs/>
      <w:color w:val="004C98" w:themeColor="accent1"/>
      <w:sz w:val="26"/>
      <w:szCs w:val="26"/>
    </w:rPr>
  </w:style>
  <w:style w:type="paragraph" w:styleId="Otsikko3">
    <w:name w:val="heading 3"/>
    <w:basedOn w:val="Normaali"/>
    <w:next w:val="Normaali"/>
    <w:link w:val="Otsikko3Char"/>
    <w:uiPriority w:val="9"/>
    <w:unhideWhenUsed/>
    <w:qFormat/>
    <w:rsid w:val="002D3AAC"/>
    <w:pPr>
      <w:keepNext/>
      <w:keepLines/>
      <w:spacing w:before="200" w:after="0"/>
      <w:outlineLvl w:val="2"/>
    </w:pPr>
    <w:rPr>
      <w:rFonts w:asciiTheme="majorHAnsi" w:eastAsiaTheme="majorEastAsia" w:hAnsiTheme="majorHAnsi" w:cstheme="majorBidi"/>
      <w:b/>
      <w:bCs/>
      <w:color w:val="004C98" w:themeColor="accent1"/>
    </w:rPr>
  </w:style>
  <w:style w:type="paragraph" w:styleId="Otsikko4">
    <w:name w:val="heading 4"/>
    <w:basedOn w:val="Normaali"/>
    <w:next w:val="Normaali"/>
    <w:link w:val="Otsikko4Char"/>
    <w:uiPriority w:val="9"/>
    <w:semiHidden/>
    <w:unhideWhenUsed/>
    <w:qFormat/>
    <w:rsid w:val="002D3AAC"/>
    <w:pPr>
      <w:keepNext/>
      <w:keepLines/>
      <w:spacing w:before="200" w:after="0"/>
      <w:outlineLvl w:val="3"/>
    </w:pPr>
    <w:rPr>
      <w:rFonts w:asciiTheme="majorHAnsi" w:eastAsiaTheme="majorEastAsia" w:hAnsiTheme="majorHAnsi" w:cstheme="majorBidi"/>
      <w:b/>
      <w:bCs/>
      <w:i/>
      <w:iCs/>
      <w:color w:val="004C98" w:themeColor="accent1"/>
    </w:rPr>
  </w:style>
  <w:style w:type="paragraph" w:styleId="Otsikko5">
    <w:name w:val="heading 5"/>
    <w:basedOn w:val="Normaali"/>
    <w:next w:val="Normaali"/>
    <w:link w:val="Otsikko5Char"/>
    <w:uiPriority w:val="9"/>
    <w:semiHidden/>
    <w:unhideWhenUsed/>
    <w:qFormat/>
    <w:rsid w:val="002D3AAC"/>
    <w:pPr>
      <w:keepNext/>
      <w:keepLines/>
      <w:spacing w:before="200" w:after="0"/>
      <w:outlineLvl w:val="4"/>
    </w:pPr>
    <w:rPr>
      <w:rFonts w:asciiTheme="majorHAnsi" w:eastAsiaTheme="majorEastAsia" w:hAnsiTheme="majorHAnsi" w:cstheme="majorBidi"/>
      <w:color w:val="00254B" w:themeColor="accent1" w:themeShade="7F"/>
    </w:rPr>
  </w:style>
  <w:style w:type="paragraph" w:styleId="Otsikko6">
    <w:name w:val="heading 6"/>
    <w:basedOn w:val="Normaali"/>
    <w:next w:val="Normaali"/>
    <w:link w:val="Otsikko6Char"/>
    <w:uiPriority w:val="9"/>
    <w:semiHidden/>
    <w:unhideWhenUsed/>
    <w:qFormat/>
    <w:rsid w:val="002D3AAC"/>
    <w:pPr>
      <w:keepNext/>
      <w:keepLines/>
      <w:spacing w:before="200" w:after="0"/>
      <w:outlineLvl w:val="5"/>
    </w:pPr>
    <w:rPr>
      <w:rFonts w:asciiTheme="majorHAnsi" w:eastAsiaTheme="majorEastAsia" w:hAnsiTheme="majorHAnsi" w:cstheme="majorBidi"/>
      <w:i/>
      <w:iCs/>
      <w:color w:val="00254B" w:themeColor="accent1" w:themeShade="7F"/>
    </w:rPr>
  </w:style>
  <w:style w:type="paragraph" w:styleId="Otsikko7">
    <w:name w:val="heading 7"/>
    <w:basedOn w:val="Normaali"/>
    <w:next w:val="Normaali"/>
    <w:link w:val="Otsikko7Char"/>
    <w:uiPriority w:val="9"/>
    <w:semiHidden/>
    <w:unhideWhenUsed/>
    <w:qFormat/>
    <w:rsid w:val="002D3AA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2D3AAC"/>
    <w:pPr>
      <w:keepNext/>
      <w:keepLines/>
      <w:spacing w:before="200" w:after="0"/>
      <w:outlineLvl w:val="7"/>
    </w:pPr>
    <w:rPr>
      <w:rFonts w:asciiTheme="majorHAnsi" w:eastAsiaTheme="majorEastAsia" w:hAnsiTheme="majorHAnsi" w:cstheme="majorBidi"/>
      <w:color w:val="004C98" w:themeColor="accent1"/>
      <w:sz w:val="20"/>
      <w:szCs w:val="20"/>
    </w:rPr>
  </w:style>
  <w:style w:type="paragraph" w:styleId="Otsikko9">
    <w:name w:val="heading 9"/>
    <w:basedOn w:val="Normaali"/>
    <w:next w:val="Normaali"/>
    <w:link w:val="Otsikko9Char"/>
    <w:uiPriority w:val="9"/>
    <w:semiHidden/>
    <w:unhideWhenUsed/>
    <w:qFormat/>
    <w:rsid w:val="002D3AA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FC1525"/>
    <w:rPr>
      <w:rFonts w:ascii="Tahoma" w:hAnsi="Tahoma" w:cs="Tahoma"/>
      <w:sz w:val="16"/>
      <w:szCs w:val="16"/>
    </w:rPr>
  </w:style>
  <w:style w:type="character" w:customStyle="1" w:styleId="SelitetekstiChar">
    <w:name w:val="Seliteteksti Char"/>
    <w:basedOn w:val="Kappaleenoletusfontti"/>
    <w:link w:val="Seliteteksti"/>
    <w:uiPriority w:val="99"/>
    <w:semiHidden/>
    <w:rsid w:val="00B16234"/>
    <w:rPr>
      <w:rFonts w:ascii="Tahoma" w:hAnsi="Tahoma" w:cs="Tahoma"/>
      <w:sz w:val="16"/>
      <w:szCs w:val="16"/>
    </w:rPr>
  </w:style>
  <w:style w:type="paragraph" w:styleId="Leipteksti">
    <w:name w:val="Body Text"/>
    <w:basedOn w:val="Normaali"/>
    <w:link w:val="LeiptekstiChar"/>
    <w:rsid w:val="00FC1525"/>
    <w:pPr>
      <w:spacing w:after="220"/>
      <w:ind w:left="1304"/>
    </w:pPr>
  </w:style>
  <w:style w:type="character" w:customStyle="1" w:styleId="LeiptekstiChar">
    <w:name w:val="Leipäteksti Char"/>
    <w:basedOn w:val="Kappaleenoletusfontti"/>
    <w:link w:val="Leipteksti"/>
    <w:rsid w:val="00B16234"/>
    <w:rPr>
      <w:rFonts w:cstheme="minorHAnsi"/>
    </w:rPr>
  </w:style>
  <w:style w:type="paragraph" w:styleId="Alatunniste">
    <w:name w:val="footer"/>
    <w:basedOn w:val="Normaali"/>
    <w:link w:val="AlatunnisteChar"/>
    <w:uiPriority w:val="99"/>
    <w:rsid w:val="00FC1525"/>
    <w:pPr>
      <w:tabs>
        <w:tab w:val="center" w:pos="4513"/>
        <w:tab w:val="right" w:pos="9026"/>
      </w:tabs>
      <w:suppressAutoHyphens/>
    </w:pPr>
    <w:rPr>
      <w:rFonts w:ascii="Calibri" w:hAnsi="Calibri"/>
      <w:sz w:val="16"/>
    </w:rPr>
  </w:style>
  <w:style w:type="character" w:customStyle="1" w:styleId="AlatunnisteChar">
    <w:name w:val="Alatunniste Char"/>
    <w:basedOn w:val="Kappaleenoletusfontti"/>
    <w:link w:val="Alatunniste"/>
    <w:uiPriority w:val="99"/>
    <w:rsid w:val="00317105"/>
    <w:rPr>
      <w:rFonts w:ascii="Calibri" w:hAnsi="Calibri" w:cstheme="minorHAnsi"/>
      <w:sz w:val="16"/>
    </w:rPr>
  </w:style>
  <w:style w:type="paragraph" w:styleId="Yltunniste">
    <w:name w:val="header"/>
    <w:basedOn w:val="Normaali"/>
    <w:link w:val="YltunnisteChar"/>
    <w:uiPriority w:val="99"/>
    <w:rsid w:val="00FC1525"/>
    <w:pPr>
      <w:tabs>
        <w:tab w:val="left" w:pos="5216"/>
        <w:tab w:val="left" w:pos="7825"/>
        <w:tab w:val="left" w:pos="9129"/>
      </w:tabs>
      <w:suppressAutoHyphens/>
    </w:pPr>
  </w:style>
  <w:style w:type="character" w:customStyle="1" w:styleId="YltunnisteChar">
    <w:name w:val="Ylätunniste Char"/>
    <w:basedOn w:val="Kappaleenoletusfontti"/>
    <w:link w:val="Yltunniste"/>
    <w:uiPriority w:val="99"/>
    <w:rsid w:val="00B16234"/>
    <w:rPr>
      <w:rFonts w:cstheme="minorHAnsi"/>
    </w:rPr>
  </w:style>
  <w:style w:type="character" w:customStyle="1" w:styleId="Otsikko1Char">
    <w:name w:val="Otsikko 1 Char"/>
    <w:basedOn w:val="Kappaleenoletusfontti"/>
    <w:link w:val="Otsikko1"/>
    <w:uiPriority w:val="9"/>
    <w:rsid w:val="002D3AAC"/>
    <w:rPr>
      <w:rFonts w:asciiTheme="majorHAnsi" w:eastAsiaTheme="majorEastAsia" w:hAnsiTheme="majorHAnsi" w:cstheme="majorBidi"/>
      <w:b/>
      <w:bCs/>
      <w:color w:val="003871" w:themeColor="accent1" w:themeShade="BF"/>
      <w:sz w:val="28"/>
      <w:szCs w:val="28"/>
    </w:rPr>
  </w:style>
  <w:style w:type="character" w:customStyle="1" w:styleId="Otsikko2Char">
    <w:name w:val="Otsikko 2 Char"/>
    <w:basedOn w:val="Kappaleenoletusfontti"/>
    <w:link w:val="Otsikko2"/>
    <w:uiPriority w:val="9"/>
    <w:rsid w:val="002D3AAC"/>
    <w:rPr>
      <w:rFonts w:asciiTheme="majorHAnsi" w:eastAsiaTheme="majorEastAsia" w:hAnsiTheme="majorHAnsi" w:cstheme="majorBidi"/>
      <w:b/>
      <w:bCs/>
      <w:color w:val="004C98" w:themeColor="accent1"/>
      <w:sz w:val="26"/>
      <w:szCs w:val="26"/>
    </w:rPr>
  </w:style>
  <w:style w:type="character" w:customStyle="1" w:styleId="Otsikko3Char">
    <w:name w:val="Otsikko 3 Char"/>
    <w:basedOn w:val="Kappaleenoletusfontti"/>
    <w:link w:val="Otsikko3"/>
    <w:uiPriority w:val="9"/>
    <w:rsid w:val="002D3AAC"/>
    <w:rPr>
      <w:rFonts w:asciiTheme="majorHAnsi" w:eastAsiaTheme="majorEastAsia" w:hAnsiTheme="majorHAnsi" w:cstheme="majorBidi"/>
      <w:b/>
      <w:bCs/>
      <w:color w:val="004C98" w:themeColor="accent1"/>
    </w:rPr>
  </w:style>
  <w:style w:type="character" w:customStyle="1" w:styleId="Otsikko4Char">
    <w:name w:val="Otsikko 4 Char"/>
    <w:basedOn w:val="Kappaleenoletusfontti"/>
    <w:link w:val="Otsikko4"/>
    <w:uiPriority w:val="9"/>
    <w:semiHidden/>
    <w:rsid w:val="002D3AAC"/>
    <w:rPr>
      <w:rFonts w:asciiTheme="majorHAnsi" w:eastAsiaTheme="majorEastAsia" w:hAnsiTheme="majorHAnsi" w:cstheme="majorBidi"/>
      <w:b/>
      <w:bCs/>
      <w:i/>
      <w:iCs/>
      <w:color w:val="004C98" w:themeColor="accent1"/>
    </w:rPr>
  </w:style>
  <w:style w:type="character" w:customStyle="1" w:styleId="Otsikko5Char">
    <w:name w:val="Otsikko 5 Char"/>
    <w:basedOn w:val="Kappaleenoletusfontti"/>
    <w:link w:val="Otsikko5"/>
    <w:uiPriority w:val="9"/>
    <w:semiHidden/>
    <w:rsid w:val="002D3AAC"/>
    <w:rPr>
      <w:rFonts w:asciiTheme="majorHAnsi" w:eastAsiaTheme="majorEastAsia" w:hAnsiTheme="majorHAnsi" w:cstheme="majorBidi"/>
      <w:color w:val="00254B" w:themeColor="accent1" w:themeShade="7F"/>
    </w:rPr>
  </w:style>
  <w:style w:type="character" w:customStyle="1" w:styleId="Otsikko6Char">
    <w:name w:val="Otsikko 6 Char"/>
    <w:basedOn w:val="Kappaleenoletusfontti"/>
    <w:link w:val="Otsikko6"/>
    <w:uiPriority w:val="9"/>
    <w:semiHidden/>
    <w:rsid w:val="002D3AAC"/>
    <w:rPr>
      <w:rFonts w:asciiTheme="majorHAnsi" w:eastAsiaTheme="majorEastAsia" w:hAnsiTheme="majorHAnsi" w:cstheme="majorBidi"/>
      <w:i/>
      <w:iCs/>
      <w:color w:val="00254B" w:themeColor="accent1" w:themeShade="7F"/>
    </w:rPr>
  </w:style>
  <w:style w:type="character" w:customStyle="1" w:styleId="Otsikko7Char">
    <w:name w:val="Otsikko 7 Char"/>
    <w:basedOn w:val="Kappaleenoletusfontti"/>
    <w:link w:val="Otsikko7"/>
    <w:uiPriority w:val="9"/>
    <w:semiHidden/>
    <w:rsid w:val="002D3AAC"/>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semiHidden/>
    <w:rsid w:val="002D3AAC"/>
    <w:rPr>
      <w:rFonts w:asciiTheme="majorHAnsi" w:eastAsiaTheme="majorEastAsia" w:hAnsiTheme="majorHAnsi" w:cstheme="majorBidi"/>
      <w:color w:val="004C98" w:themeColor="accent1"/>
      <w:sz w:val="20"/>
      <w:szCs w:val="20"/>
    </w:rPr>
  </w:style>
  <w:style w:type="character" w:customStyle="1" w:styleId="Otsikko9Char">
    <w:name w:val="Otsikko 9 Char"/>
    <w:basedOn w:val="Kappaleenoletusfontti"/>
    <w:link w:val="Otsikko9"/>
    <w:uiPriority w:val="9"/>
    <w:semiHidden/>
    <w:rsid w:val="002D3AAC"/>
    <w:rPr>
      <w:rFonts w:asciiTheme="majorHAnsi" w:eastAsiaTheme="majorEastAsia" w:hAnsiTheme="majorHAnsi" w:cstheme="majorBidi"/>
      <w:i/>
      <w:iCs/>
      <w:color w:val="404040" w:themeColor="text1" w:themeTint="BF"/>
      <w:sz w:val="20"/>
      <w:szCs w:val="20"/>
    </w:rPr>
  </w:style>
  <w:style w:type="paragraph" w:styleId="Merkittyluettelo">
    <w:name w:val="List Bullet"/>
    <w:basedOn w:val="Normaali"/>
    <w:uiPriority w:val="99"/>
    <w:rsid w:val="00257975"/>
    <w:pPr>
      <w:numPr>
        <w:numId w:val="6"/>
      </w:numPr>
      <w:spacing w:after="220"/>
      <w:contextualSpacing/>
    </w:pPr>
  </w:style>
  <w:style w:type="paragraph" w:styleId="Numeroituluettelo">
    <w:name w:val="List Number"/>
    <w:basedOn w:val="Normaali"/>
    <w:uiPriority w:val="99"/>
    <w:qFormat/>
    <w:rsid w:val="00257975"/>
    <w:pPr>
      <w:numPr>
        <w:numId w:val="8"/>
      </w:numPr>
      <w:spacing w:after="220"/>
      <w:contextualSpacing/>
    </w:pPr>
  </w:style>
  <w:style w:type="numbering" w:customStyle="1" w:styleId="MerkittyluetteloSTUK">
    <w:name w:val="Merkitty luettelo STUK"/>
    <w:uiPriority w:val="99"/>
    <w:rsid w:val="00257975"/>
    <w:pPr>
      <w:numPr>
        <w:numId w:val="1"/>
      </w:numPr>
    </w:pPr>
  </w:style>
  <w:style w:type="paragraph" w:styleId="Eivli">
    <w:name w:val="No Spacing"/>
    <w:uiPriority w:val="1"/>
    <w:qFormat/>
    <w:rsid w:val="002D3AAC"/>
    <w:pPr>
      <w:spacing w:after="0" w:line="240" w:lineRule="auto"/>
    </w:pPr>
  </w:style>
  <w:style w:type="numbering" w:customStyle="1" w:styleId="NumeroituluetteloSTUK">
    <w:name w:val="Numeroitu luettelo STUK"/>
    <w:uiPriority w:val="99"/>
    <w:rsid w:val="00257975"/>
    <w:pPr>
      <w:numPr>
        <w:numId w:val="2"/>
      </w:numPr>
    </w:pPr>
  </w:style>
  <w:style w:type="character" w:styleId="Paikkamerkkiteksti">
    <w:name w:val="Placeholder Text"/>
    <w:basedOn w:val="Kappaleenoletusfontti"/>
    <w:uiPriority w:val="99"/>
    <w:semiHidden/>
    <w:rsid w:val="00FC1525"/>
    <w:rPr>
      <w:color w:val="auto"/>
    </w:rPr>
  </w:style>
  <w:style w:type="table" w:customStyle="1" w:styleId="reunaton">
    <w:name w:val="reunaton"/>
    <w:basedOn w:val="Normaalitaulukko"/>
    <w:uiPriority w:val="99"/>
    <w:qFormat/>
    <w:rsid w:val="00FC1525"/>
    <w:pPr>
      <w:spacing w:after="0" w:line="240" w:lineRule="auto"/>
    </w:pPr>
    <w:rPr>
      <w:rFonts w:cstheme="minorHAnsi"/>
    </w:rPr>
    <w:tblPr/>
  </w:style>
  <w:style w:type="table" w:styleId="TaulukkoRuudukko">
    <w:name w:val="Table Grid"/>
    <w:basedOn w:val="Normaalitaulukko"/>
    <w:uiPriority w:val="59"/>
    <w:rsid w:val="00FC1525"/>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tsikko">
    <w:name w:val="Title"/>
    <w:basedOn w:val="Normaali"/>
    <w:next w:val="Normaali"/>
    <w:link w:val="OtsikkoChar"/>
    <w:uiPriority w:val="10"/>
    <w:qFormat/>
    <w:rsid w:val="002D3AAC"/>
    <w:pPr>
      <w:pBdr>
        <w:bottom w:val="single" w:sz="8" w:space="4" w:color="004C98" w:themeColor="accent1"/>
      </w:pBdr>
      <w:spacing w:after="300" w:line="240" w:lineRule="auto"/>
      <w:contextualSpacing/>
    </w:pPr>
    <w:rPr>
      <w:rFonts w:asciiTheme="majorHAnsi" w:eastAsiaTheme="majorEastAsia" w:hAnsiTheme="majorHAnsi" w:cstheme="majorBidi"/>
      <w:color w:val="003871" w:themeColor="text2" w:themeShade="BF"/>
      <w:spacing w:val="5"/>
      <w:kern w:val="28"/>
      <w:sz w:val="52"/>
      <w:szCs w:val="52"/>
    </w:rPr>
  </w:style>
  <w:style w:type="character" w:customStyle="1" w:styleId="OtsikkoChar">
    <w:name w:val="Otsikko Char"/>
    <w:basedOn w:val="Kappaleenoletusfontti"/>
    <w:link w:val="Otsikko"/>
    <w:uiPriority w:val="10"/>
    <w:rsid w:val="002D3AAC"/>
    <w:rPr>
      <w:rFonts w:asciiTheme="majorHAnsi" w:eastAsiaTheme="majorEastAsia" w:hAnsiTheme="majorHAnsi" w:cstheme="majorBidi"/>
      <w:color w:val="003871" w:themeColor="text2" w:themeShade="BF"/>
      <w:spacing w:val="5"/>
      <w:kern w:val="28"/>
      <w:sz w:val="52"/>
      <w:szCs w:val="52"/>
    </w:rPr>
  </w:style>
  <w:style w:type="paragraph" w:styleId="Lhdeluettelonotsikko">
    <w:name w:val="toa heading"/>
    <w:basedOn w:val="Normaali"/>
    <w:next w:val="Normaali"/>
    <w:uiPriority w:val="99"/>
    <w:semiHidden/>
    <w:rsid w:val="00FC1525"/>
    <w:pPr>
      <w:spacing w:before="120"/>
    </w:pPr>
    <w:rPr>
      <w:rFonts w:asciiTheme="majorHAnsi" w:eastAsiaTheme="majorEastAsia" w:hAnsiTheme="majorHAnsi" w:cstheme="majorBidi"/>
      <w:b/>
      <w:bCs/>
      <w:sz w:val="24"/>
      <w:szCs w:val="24"/>
    </w:rPr>
  </w:style>
  <w:style w:type="paragraph" w:styleId="Sisluet1">
    <w:name w:val="toc 1"/>
    <w:basedOn w:val="Normaali"/>
    <w:next w:val="Normaali"/>
    <w:autoRedefine/>
    <w:uiPriority w:val="39"/>
    <w:semiHidden/>
    <w:rsid w:val="00FC1525"/>
    <w:pPr>
      <w:spacing w:after="100"/>
    </w:pPr>
  </w:style>
  <w:style w:type="paragraph" w:styleId="Sisllysluettelonotsikko">
    <w:name w:val="TOC Heading"/>
    <w:basedOn w:val="Otsikko1"/>
    <w:next w:val="Normaali"/>
    <w:uiPriority w:val="39"/>
    <w:semiHidden/>
    <w:unhideWhenUsed/>
    <w:qFormat/>
    <w:rsid w:val="002D3AAC"/>
    <w:pPr>
      <w:outlineLvl w:val="9"/>
    </w:pPr>
  </w:style>
  <w:style w:type="paragraph" w:styleId="Merkittyluettelo2">
    <w:name w:val="List Bullet 2"/>
    <w:basedOn w:val="Normaali"/>
    <w:uiPriority w:val="99"/>
    <w:rsid w:val="00257975"/>
    <w:pPr>
      <w:numPr>
        <w:numId w:val="7"/>
      </w:numPr>
      <w:spacing w:after="220"/>
      <w:contextualSpacing/>
    </w:pPr>
  </w:style>
  <w:style w:type="paragraph" w:styleId="Numeroituluettelo2">
    <w:name w:val="List Number 2"/>
    <w:basedOn w:val="Normaali"/>
    <w:uiPriority w:val="99"/>
    <w:unhideWhenUsed/>
    <w:rsid w:val="00257975"/>
    <w:pPr>
      <w:numPr>
        <w:numId w:val="5"/>
      </w:numPr>
      <w:spacing w:after="220"/>
      <w:contextualSpacing/>
    </w:pPr>
  </w:style>
  <w:style w:type="numbering" w:customStyle="1" w:styleId="Stukmerkittyluettelo2">
    <w:name w:val="Stuk merkitty luettelo 2"/>
    <w:uiPriority w:val="99"/>
    <w:rsid w:val="00257975"/>
    <w:pPr>
      <w:numPr>
        <w:numId w:val="3"/>
      </w:numPr>
    </w:pPr>
  </w:style>
  <w:style w:type="numbering" w:customStyle="1" w:styleId="Stuknumeroituluettelo2">
    <w:name w:val="Stuk numeroitu luettelo 2"/>
    <w:uiPriority w:val="99"/>
    <w:rsid w:val="00257975"/>
    <w:pPr>
      <w:numPr>
        <w:numId w:val="4"/>
      </w:numPr>
    </w:pPr>
  </w:style>
  <w:style w:type="paragraph" w:styleId="Kuvanotsikko">
    <w:name w:val="caption"/>
    <w:basedOn w:val="Normaali"/>
    <w:next w:val="Normaali"/>
    <w:uiPriority w:val="35"/>
    <w:semiHidden/>
    <w:unhideWhenUsed/>
    <w:qFormat/>
    <w:rsid w:val="002D3AAC"/>
    <w:pPr>
      <w:spacing w:line="240" w:lineRule="auto"/>
    </w:pPr>
    <w:rPr>
      <w:b/>
      <w:bCs/>
      <w:color w:val="004C98" w:themeColor="accent1"/>
      <w:sz w:val="18"/>
      <w:szCs w:val="18"/>
    </w:rPr>
  </w:style>
  <w:style w:type="paragraph" w:styleId="Alaotsikko">
    <w:name w:val="Subtitle"/>
    <w:basedOn w:val="Normaali"/>
    <w:next w:val="Normaali"/>
    <w:link w:val="AlaotsikkoChar"/>
    <w:uiPriority w:val="11"/>
    <w:qFormat/>
    <w:rsid w:val="002D3AAC"/>
    <w:pPr>
      <w:numPr>
        <w:ilvl w:val="1"/>
      </w:numPr>
    </w:pPr>
    <w:rPr>
      <w:rFonts w:asciiTheme="majorHAnsi" w:eastAsiaTheme="majorEastAsia" w:hAnsiTheme="majorHAnsi" w:cstheme="majorBidi"/>
      <w:i/>
      <w:iCs/>
      <w:color w:val="004C98" w:themeColor="accent1"/>
      <w:spacing w:val="15"/>
      <w:sz w:val="24"/>
      <w:szCs w:val="24"/>
    </w:rPr>
  </w:style>
  <w:style w:type="character" w:customStyle="1" w:styleId="AlaotsikkoChar">
    <w:name w:val="Alaotsikko Char"/>
    <w:basedOn w:val="Kappaleenoletusfontti"/>
    <w:link w:val="Alaotsikko"/>
    <w:uiPriority w:val="11"/>
    <w:rsid w:val="002D3AAC"/>
    <w:rPr>
      <w:rFonts w:asciiTheme="majorHAnsi" w:eastAsiaTheme="majorEastAsia" w:hAnsiTheme="majorHAnsi" w:cstheme="majorBidi"/>
      <w:i/>
      <w:iCs/>
      <w:color w:val="004C98" w:themeColor="accent1"/>
      <w:spacing w:val="15"/>
      <w:sz w:val="24"/>
      <w:szCs w:val="24"/>
    </w:rPr>
  </w:style>
  <w:style w:type="character" w:styleId="Voimakas">
    <w:name w:val="Strong"/>
    <w:basedOn w:val="Kappaleenoletusfontti"/>
    <w:uiPriority w:val="22"/>
    <w:qFormat/>
    <w:rsid w:val="002D3AAC"/>
    <w:rPr>
      <w:b/>
      <w:bCs/>
    </w:rPr>
  </w:style>
  <w:style w:type="character" w:styleId="Korostus">
    <w:name w:val="Emphasis"/>
    <w:basedOn w:val="Kappaleenoletusfontti"/>
    <w:uiPriority w:val="20"/>
    <w:qFormat/>
    <w:rsid w:val="002D3AAC"/>
    <w:rPr>
      <w:i/>
      <w:iCs/>
    </w:rPr>
  </w:style>
  <w:style w:type="paragraph" w:styleId="Luettelokappale">
    <w:name w:val="List Paragraph"/>
    <w:basedOn w:val="Normaali"/>
    <w:uiPriority w:val="34"/>
    <w:qFormat/>
    <w:rsid w:val="002D3AAC"/>
    <w:pPr>
      <w:ind w:left="720"/>
      <w:contextualSpacing/>
    </w:pPr>
  </w:style>
  <w:style w:type="paragraph" w:styleId="Lainaus">
    <w:name w:val="Quote"/>
    <w:basedOn w:val="Normaali"/>
    <w:next w:val="Normaali"/>
    <w:link w:val="LainausChar"/>
    <w:uiPriority w:val="29"/>
    <w:qFormat/>
    <w:rsid w:val="002D3AAC"/>
    <w:rPr>
      <w:i/>
      <w:iCs/>
      <w:color w:val="000000" w:themeColor="text1"/>
    </w:rPr>
  </w:style>
  <w:style w:type="character" w:customStyle="1" w:styleId="LainausChar">
    <w:name w:val="Lainaus Char"/>
    <w:basedOn w:val="Kappaleenoletusfontti"/>
    <w:link w:val="Lainaus"/>
    <w:uiPriority w:val="29"/>
    <w:rsid w:val="002D3AAC"/>
    <w:rPr>
      <w:i/>
      <w:iCs/>
      <w:color w:val="000000" w:themeColor="text1"/>
    </w:rPr>
  </w:style>
  <w:style w:type="paragraph" w:styleId="Erottuvalainaus">
    <w:name w:val="Intense Quote"/>
    <w:basedOn w:val="Normaali"/>
    <w:next w:val="Normaali"/>
    <w:link w:val="ErottuvalainausChar"/>
    <w:uiPriority w:val="30"/>
    <w:qFormat/>
    <w:rsid w:val="002D3AAC"/>
    <w:pPr>
      <w:pBdr>
        <w:bottom w:val="single" w:sz="4" w:space="4" w:color="004C98" w:themeColor="accent1"/>
      </w:pBdr>
      <w:spacing w:before="200" w:after="280"/>
      <w:ind w:left="936" w:right="936"/>
    </w:pPr>
    <w:rPr>
      <w:b/>
      <w:bCs/>
      <w:i/>
      <w:iCs/>
      <w:color w:val="004C98" w:themeColor="accent1"/>
    </w:rPr>
  </w:style>
  <w:style w:type="character" w:customStyle="1" w:styleId="ErottuvalainausChar">
    <w:name w:val="Erottuva lainaus Char"/>
    <w:basedOn w:val="Kappaleenoletusfontti"/>
    <w:link w:val="Erottuvalainaus"/>
    <w:uiPriority w:val="30"/>
    <w:rsid w:val="002D3AAC"/>
    <w:rPr>
      <w:b/>
      <w:bCs/>
      <w:i/>
      <w:iCs/>
      <w:color w:val="004C98" w:themeColor="accent1"/>
    </w:rPr>
  </w:style>
  <w:style w:type="character" w:styleId="Hienovarainenkorostus">
    <w:name w:val="Subtle Emphasis"/>
    <w:basedOn w:val="Kappaleenoletusfontti"/>
    <w:uiPriority w:val="19"/>
    <w:qFormat/>
    <w:rsid w:val="002D3AAC"/>
    <w:rPr>
      <w:i/>
      <w:iCs/>
      <w:color w:val="808080" w:themeColor="text1" w:themeTint="7F"/>
    </w:rPr>
  </w:style>
  <w:style w:type="character" w:styleId="Voimakaskorostus">
    <w:name w:val="Intense Emphasis"/>
    <w:basedOn w:val="Kappaleenoletusfontti"/>
    <w:uiPriority w:val="21"/>
    <w:qFormat/>
    <w:rsid w:val="002D3AAC"/>
    <w:rPr>
      <w:b/>
      <w:bCs/>
      <w:i/>
      <w:iCs/>
      <w:color w:val="004C98" w:themeColor="accent1"/>
    </w:rPr>
  </w:style>
  <w:style w:type="character" w:styleId="Hienovarainenviittaus">
    <w:name w:val="Subtle Reference"/>
    <w:basedOn w:val="Kappaleenoletusfontti"/>
    <w:uiPriority w:val="31"/>
    <w:qFormat/>
    <w:rsid w:val="002D3AAC"/>
    <w:rPr>
      <w:smallCaps/>
      <w:color w:val="00822D" w:themeColor="accent2"/>
      <w:u w:val="single"/>
    </w:rPr>
  </w:style>
  <w:style w:type="character" w:styleId="Erottuvaviittaus">
    <w:name w:val="Intense Reference"/>
    <w:basedOn w:val="Kappaleenoletusfontti"/>
    <w:uiPriority w:val="32"/>
    <w:qFormat/>
    <w:rsid w:val="002D3AAC"/>
    <w:rPr>
      <w:b/>
      <w:bCs/>
      <w:smallCaps/>
      <w:color w:val="00822D" w:themeColor="accent2"/>
      <w:spacing w:val="5"/>
      <w:u w:val="single"/>
    </w:rPr>
  </w:style>
  <w:style w:type="character" w:styleId="Kirjannimike">
    <w:name w:val="Book Title"/>
    <w:basedOn w:val="Kappaleenoletusfontti"/>
    <w:uiPriority w:val="33"/>
    <w:qFormat/>
    <w:rsid w:val="002D3AAC"/>
    <w:rPr>
      <w:b/>
      <w:bCs/>
      <w:smallCaps/>
      <w:spacing w:val="5"/>
    </w:rPr>
  </w:style>
  <w:style w:type="character" w:styleId="Kommentinviite">
    <w:name w:val="annotation reference"/>
    <w:basedOn w:val="Kappaleenoletusfontti"/>
    <w:uiPriority w:val="99"/>
    <w:semiHidden/>
    <w:unhideWhenUsed/>
    <w:rsid w:val="00EF5BD7"/>
    <w:rPr>
      <w:sz w:val="16"/>
      <w:szCs w:val="16"/>
    </w:rPr>
  </w:style>
  <w:style w:type="paragraph" w:styleId="Kommentinteksti">
    <w:name w:val="annotation text"/>
    <w:basedOn w:val="Normaali"/>
    <w:link w:val="KommentintekstiChar"/>
    <w:uiPriority w:val="99"/>
    <w:unhideWhenUsed/>
    <w:rsid w:val="00EF5BD7"/>
    <w:pPr>
      <w:spacing w:line="240" w:lineRule="auto"/>
    </w:pPr>
    <w:rPr>
      <w:sz w:val="20"/>
      <w:szCs w:val="20"/>
    </w:rPr>
  </w:style>
  <w:style w:type="character" w:customStyle="1" w:styleId="KommentintekstiChar">
    <w:name w:val="Kommentin teksti Char"/>
    <w:basedOn w:val="Kappaleenoletusfontti"/>
    <w:link w:val="Kommentinteksti"/>
    <w:uiPriority w:val="99"/>
    <w:rsid w:val="00EF5BD7"/>
    <w:rPr>
      <w:sz w:val="20"/>
      <w:szCs w:val="20"/>
    </w:rPr>
  </w:style>
  <w:style w:type="paragraph" w:styleId="Kommentinotsikko">
    <w:name w:val="annotation subject"/>
    <w:basedOn w:val="Kommentinteksti"/>
    <w:next w:val="Kommentinteksti"/>
    <w:link w:val="KommentinotsikkoChar"/>
    <w:uiPriority w:val="99"/>
    <w:semiHidden/>
    <w:unhideWhenUsed/>
    <w:rsid w:val="00EF5BD7"/>
    <w:rPr>
      <w:b/>
      <w:bCs/>
    </w:rPr>
  </w:style>
  <w:style w:type="character" w:customStyle="1" w:styleId="KommentinotsikkoChar">
    <w:name w:val="Kommentin otsikko Char"/>
    <w:basedOn w:val="KommentintekstiChar"/>
    <w:link w:val="Kommentinotsikko"/>
    <w:uiPriority w:val="99"/>
    <w:semiHidden/>
    <w:rsid w:val="00EF5BD7"/>
    <w:rPr>
      <w:b/>
      <w:bCs/>
      <w:sz w:val="20"/>
      <w:szCs w:val="20"/>
    </w:rPr>
  </w:style>
  <w:style w:type="table" w:customStyle="1" w:styleId="MediumGrid3-Accent21">
    <w:name w:val="Medium Grid 3 - Accent 21"/>
    <w:basedOn w:val="Normaalitaulukko"/>
    <w:next w:val="Normaaliruudukko3-korostus2"/>
    <w:uiPriority w:val="69"/>
    <w:rsid w:val="00506442"/>
    <w:pPr>
      <w:spacing w:after="0" w:line="240" w:lineRule="auto"/>
    </w:pPr>
    <w:rPr>
      <w:rFonts w:ascii="Cambria" w:eastAsia="Cambria" w:hAnsi="Cambria" w:cs="Times New Roman"/>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FF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22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22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22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22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1FF8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1FF83" w:themeFill="accent2" w:themeFillTint="7F"/>
      </w:tcPr>
    </w:tblStylePr>
  </w:style>
  <w:style w:type="table" w:styleId="Normaaliruudukko3-korostus2">
    <w:name w:val="Medium Grid 3 Accent 2"/>
    <w:basedOn w:val="Normaalitaulukko"/>
    <w:uiPriority w:val="69"/>
    <w:rsid w:val="0050644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FF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22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22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22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22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1FF8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1FF83" w:themeFill="accent2" w:themeFillTint="7F"/>
      </w:tcPr>
    </w:tblStylePr>
  </w:style>
  <w:style w:type="paragraph" w:styleId="Alaviitteenteksti">
    <w:name w:val="footnote text"/>
    <w:basedOn w:val="Normaali"/>
    <w:link w:val="AlaviitteentekstiChar"/>
    <w:uiPriority w:val="99"/>
    <w:semiHidden/>
    <w:unhideWhenUsed/>
    <w:rsid w:val="00865F79"/>
    <w:pPr>
      <w:spacing w:after="0" w:line="240" w:lineRule="auto"/>
      <w:jc w:val="both"/>
    </w:pPr>
    <w:rPr>
      <w:rFonts w:ascii="Cambria" w:eastAsia="Cambria" w:hAnsi="Cambria" w:cs="Cambria"/>
      <w:sz w:val="20"/>
      <w:szCs w:val="20"/>
    </w:rPr>
  </w:style>
  <w:style w:type="character" w:customStyle="1" w:styleId="AlaviitteentekstiChar">
    <w:name w:val="Alaviitteen teksti Char"/>
    <w:basedOn w:val="Kappaleenoletusfontti"/>
    <w:link w:val="Alaviitteenteksti"/>
    <w:uiPriority w:val="99"/>
    <w:semiHidden/>
    <w:rsid w:val="00865F79"/>
    <w:rPr>
      <w:rFonts w:ascii="Cambria" w:eastAsia="Cambria" w:hAnsi="Cambria" w:cs="Cambria"/>
      <w:sz w:val="20"/>
      <w:szCs w:val="20"/>
    </w:rPr>
  </w:style>
  <w:style w:type="character" w:styleId="Hyperlinkki">
    <w:name w:val="Hyperlink"/>
    <w:basedOn w:val="Kappaleenoletusfontti"/>
    <w:uiPriority w:val="99"/>
    <w:rsid w:val="00E86079"/>
    <w:rPr>
      <w:color w:val="0000FF"/>
      <w:u w:val="single"/>
    </w:rPr>
  </w:style>
  <w:style w:type="paragraph" w:styleId="Muutos">
    <w:name w:val="Revision"/>
    <w:hidden/>
    <w:uiPriority w:val="99"/>
    <w:semiHidden/>
    <w:rsid w:val="00BF5DFA"/>
    <w:pPr>
      <w:spacing w:after="0" w:line="240" w:lineRule="auto"/>
    </w:pPr>
  </w:style>
  <w:style w:type="paragraph" w:customStyle="1" w:styleId="CM1">
    <w:name w:val="CM1"/>
    <w:basedOn w:val="Normaali"/>
    <w:next w:val="Normaali"/>
    <w:uiPriority w:val="99"/>
    <w:rsid w:val="00806AB2"/>
    <w:pPr>
      <w:autoSpaceDE w:val="0"/>
      <w:autoSpaceDN w:val="0"/>
      <w:adjustRightInd w:val="0"/>
      <w:spacing w:after="0" w:line="240" w:lineRule="auto"/>
    </w:pPr>
    <w:rPr>
      <w:rFonts w:ascii="EUAlbertina" w:hAnsi="EUAlbertina"/>
      <w:sz w:val="24"/>
      <w:szCs w:val="24"/>
    </w:rPr>
  </w:style>
  <w:style w:type="paragraph" w:customStyle="1" w:styleId="CM3">
    <w:name w:val="CM3"/>
    <w:basedOn w:val="Normaali"/>
    <w:next w:val="Normaali"/>
    <w:uiPriority w:val="99"/>
    <w:rsid w:val="00806AB2"/>
    <w:pPr>
      <w:autoSpaceDE w:val="0"/>
      <w:autoSpaceDN w:val="0"/>
      <w:adjustRightInd w:val="0"/>
      <w:spacing w:after="0" w:line="240" w:lineRule="auto"/>
    </w:pPr>
    <w:rPr>
      <w:rFonts w:ascii="EUAlbertina" w:hAnsi="EUAlbertina"/>
      <w:sz w:val="24"/>
      <w:szCs w:val="24"/>
    </w:rPr>
  </w:style>
  <w:style w:type="paragraph" w:customStyle="1" w:styleId="CM4">
    <w:name w:val="CM4"/>
    <w:basedOn w:val="Normaali"/>
    <w:next w:val="Normaali"/>
    <w:uiPriority w:val="99"/>
    <w:rsid w:val="00806AB2"/>
    <w:pPr>
      <w:autoSpaceDE w:val="0"/>
      <w:autoSpaceDN w:val="0"/>
      <w:adjustRightInd w:val="0"/>
      <w:spacing w:after="0" w:line="240" w:lineRule="auto"/>
    </w:pPr>
    <w:rPr>
      <w:rFonts w:ascii="EUAlbertina" w:hAnsi="EUAlberti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Body Text" w:uiPriority="0"/>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ali">
    <w:name w:val="Normal"/>
    <w:qFormat/>
    <w:rsid w:val="002D3AAC"/>
  </w:style>
  <w:style w:type="paragraph" w:styleId="Otsikko1">
    <w:name w:val="heading 1"/>
    <w:basedOn w:val="Normaali"/>
    <w:next w:val="Normaali"/>
    <w:link w:val="Otsikko1Char"/>
    <w:uiPriority w:val="9"/>
    <w:qFormat/>
    <w:rsid w:val="002D3AAC"/>
    <w:pPr>
      <w:keepNext/>
      <w:keepLines/>
      <w:spacing w:before="480" w:after="0"/>
      <w:outlineLvl w:val="0"/>
    </w:pPr>
    <w:rPr>
      <w:rFonts w:asciiTheme="majorHAnsi" w:eastAsiaTheme="majorEastAsia" w:hAnsiTheme="majorHAnsi" w:cstheme="majorBidi"/>
      <w:b/>
      <w:bCs/>
      <w:color w:val="003871" w:themeColor="accent1" w:themeShade="BF"/>
      <w:sz w:val="28"/>
      <w:szCs w:val="28"/>
    </w:rPr>
  </w:style>
  <w:style w:type="paragraph" w:styleId="Otsikko2">
    <w:name w:val="heading 2"/>
    <w:basedOn w:val="Normaali"/>
    <w:next w:val="Normaali"/>
    <w:link w:val="Otsikko2Char"/>
    <w:uiPriority w:val="9"/>
    <w:unhideWhenUsed/>
    <w:qFormat/>
    <w:rsid w:val="002D3AAC"/>
    <w:pPr>
      <w:keepNext/>
      <w:keepLines/>
      <w:spacing w:before="200" w:after="0"/>
      <w:outlineLvl w:val="1"/>
    </w:pPr>
    <w:rPr>
      <w:rFonts w:asciiTheme="majorHAnsi" w:eastAsiaTheme="majorEastAsia" w:hAnsiTheme="majorHAnsi" w:cstheme="majorBidi"/>
      <w:b/>
      <w:bCs/>
      <w:color w:val="004C98" w:themeColor="accent1"/>
      <w:sz w:val="26"/>
      <w:szCs w:val="26"/>
    </w:rPr>
  </w:style>
  <w:style w:type="paragraph" w:styleId="Otsikko3">
    <w:name w:val="heading 3"/>
    <w:basedOn w:val="Normaali"/>
    <w:next w:val="Normaali"/>
    <w:link w:val="Otsikko3Char"/>
    <w:uiPriority w:val="9"/>
    <w:unhideWhenUsed/>
    <w:qFormat/>
    <w:rsid w:val="002D3AAC"/>
    <w:pPr>
      <w:keepNext/>
      <w:keepLines/>
      <w:spacing w:before="200" w:after="0"/>
      <w:outlineLvl w:val="2"/>
    </w:pPr>
    <w:rPr>
      <w:rFonts w:asciiTheme="majorHAnsi" w:eastAsiaTheme="majorEastAsia" w:hAnsiTheme="majorHAnsi" w:cstheme="majorBidi"/>
      <w:b/>
      <w:bCs/>
      <w:color w:val="004C98" w:themeColor="accent1"/>
    </w:rPr>
  </w:style>
  <w:style w:type="paragraph" w:styleId="Otsikko4">
    <w:name w:val="heading 4"/>
    <w:basedOn w:val="Normaali"/>
    <w:next w:val="Normaali"/>
    <w:link w:val="Otsikko4Char"/>
    <w:uiPriority w:val="9"/>
    <w:semiHidden/>
    <w:unhideWhenUsed/>
    <w:qFormat/>
    <w:rsid w:val="002D3AAC"/>
    <w:pPr>
      <w:keepNext/>
      <w:keepLines/>
      <w:spacing w:before="200" w:after="0"/>
      <w:outlineLvl w:val="3"/>
    </w:pPr>
    <w:rPr>
      <w:rFonts w:asciiTheme="majorHAnsi" w:eastAsiaTheme="majorEastAsia" w:hAnsiTheme="majorHAnsi" w:cstheme="majorBidi"/>
      <w:b/>
      <w:bCs/>
      <w:i/>
      <w:iCs/>
      <w:color w:val="004C98" w:themeColor="accent1"/>
    </w:rPr>
  </w:style>
  <w:style w:type="paragraph" w:styleId="Otsikko5">
    <w:name w:val="heading 5"/>
    <w:basedOn w:val="Normaali"/>
    <w:next w:val="Normaali"/>
    <w:link w:val="Otsikko5Char"/>
    <w:uiPriority w:val="9"/>
    <w:semiHidden/>
    <w:unhideWhenUsed/>
    <w:qFormat/>
    <w:rsid w:val="002D3AAC"/>
    <w:pPr>
      <w:keepNext/>
      <w:keepLines/>
      <w:spacing w:before="200" w:after="0"/>
      <w:outlineLvl w:val="4"/>
    </w:pPr>
    <w:rPr>
      <w:rFonts w:asciiTheme="majorHAnsi" w:eastAsiaTheme="majorEastAsia" w:hAnsiTheme="majorHAnsi" w:cstheme="majorBidi"/>
      <w:color w:val="00254B" w:themeColor="accent1" w:themeShade="7F"/>
    </w:rPr>
  </w:style>
  <w:style w:type="paragraph" w:styleId="Otsikko6">
    <w:name w:val="heading 6"/>
    <w:basedOn w:val="Normaali"/>
    <w:next w:val="Normaali"/>
    <w:link w:val="Otsikko6Char"/>
    <w:uiPriority w:val="9"/>
    <w:semiHidden/>
    <w:unhideWhenUsed/>
    <w:qFormat/>
    <w:rsid w:val="002D3AAC"/>
    <w:pPr>
      <w:keepNext/>
      <w:keepLines/>
      <w:spacing w:before="200" w:after="0"/>
      <w:outlineLvl w:val="5"/>
    </w:pPr>
    <w:rPr>
      <w:rFonts w:asciiTheme="majorHAnsi" w:eastAsiaTheme="majorEastAsia" w:hAnsiTheme="majorHAnsi" w:cstheme="majorBidi"/>
      <w:i/>
      <w:iCs/>
      <w:color w:val="00254B" w:themeColor="accent1" w:themeShade="7F"/>
    </w:rPr>
  </w:style>
  <w:style w:type="paragraph" w:styleId="Otsikko7">
    <w:name w:val="heading 7"/>
    <w:basedOn w:val="Normaali"/>
    <w:next w:val="Normaali"/>
    <w:link w:val="Otsikko7Char"/>
    <w:uiPriority w:val="9"/>
    <w:semiHidden/>
    <w:unhideWhenUsed/>
    <w:qFormat/>
    <w:rsid w:val="002D3AA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2D3AAC"/>
    <w:pPr>
      <w:keepNext/>
      <w:keepLines/>
      <w:spacing w:before="200" w:after="0"/>
      <w:outlineLvl w:val="7"/>
    </w:pPr>
    <w:rPr>
      <w:rFonts w:asciiTheme="majorHAnsi" w:eastAsiaTheme="majorEastAsia" w:hAnsiTheme="majorHAnsi" w:cstheme="majorBidi"/>
      <w:color w:val="004C98" w:themeColor="accent1"/>
      <w:sz w:val="20"/>
      <w:szCs w:val="20"/>
    </w:rPr>
  </w:style>
  <w:style w:type="paragraph" w:styleId="Otsikko9">
    <w:name w:val="heading 9"/>
    <w:basedOn w:val="Normaali"/>
    <w:next w:val="Normaali"/>
    <w:link w:val="Otsikko9Char"/>
    <w:uiPriority w:val="9"/>
    <w:semiHidden/>
    <w:unhideWhenUsed/>
    <w:qFormat/>
    <w:rsid w:val="002D3AA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FC1525"/>
    <w:rPr>
      <w:rFonts w:ascii="Tahoma" w:hAnsi="Tahoma" w:cs="Tahoma"/>
      <w:sz w:val="16"/>
      <w:szCs w:val="16"/>
    </w:rPr>
  </w:style>
  <w:style w:type="character" w:customStyle="1" w:styleId="SelitetekstiChar">
    <w:name w:val="Seliteteksti Char"/>
    <w:basedOn w:val="Kappaleenoletusfontti"/>
    <w:link w:val="Seliteteksti"/>
    <w:uiPriority w:val="99"/>
    <w:semiHidden/>
    <w:rsid w:val="00B16234"/>
    <w:rPr>
      <w:rFonts w:ascii="Tahoma" w:hAnsi="Tahoma" w:cs="Tahoma"/>
      <w:sz w:val="16"/>
      <w:szCs w:val="16"/>
    </w:rPr>
  </w:style>
  <w:style w:type="paragraph" w:styleId="Leipteksti">
    <w:name w:val="Body Text"/>
    <w:basedOn w:val="Normaali"/>
    <w:link w:val="LeiptekstiChar"/>
    <w:rsid w:val="00FC1525"/>
    <w:pPr>
      <w:spacing w:after="220"/>
      <w:ind w:left="1304"/>
    </w:pPr>
  </w:style>
  <w:style w:type="character" w:customStyle="1" w:styleId="LeiptekstiChar">
    <w:name w:val="Leipäteksti Char"/>
    <w:basedOn w:val="Kappaleenoletusfontti"/>
    <w:link w:val="Leipteksti"/>
    <w:rsid w:val="00B16234"/>
    <w:rPr>
      <w:rFonts w:cstheme="minorHAnsi"/>
    </w:rPr>
  </w:style>
  <w:style w:type="paragraph" w:styleId="Alatunniste">
    <w:name w:val="footer"/>
    <w:basedOn w:val="Normaali"/>
    <w:link w:val="AlatunnisteChar"/>
    <w:uiPriority w:val="99"/>
    <w:rsid w:val="00FC1525"/>
    <w:pPr>
      <w:tabs>
        <w:tab w:val="center" w:pos="4513"/>
        <w:tab w:val="right" w:pos="9026"/>
      </w:tabs>
      <w:suppressAutoHyphens/>
    </w:pPr>
    <w:rPr>
      <w:rFonts w:ascii="Calibri" w:hAnsi="Calibri"/>
      <w:sz w:val="16"/>
    </w:rPr>
  </w:style>
  <w:style w:type="character" w:customStyle="1" w:styleId="AlatunnisteChar">
    <w:name w:val="Alatunniste Char"/>
    <w:basedOn w:val="Kappaleenoletusfontti"/>
    <w:link w:val="Alatunniste"/>
    <w:uiPriority w:val="99"/>
    <w:rsid w:val="00317105"/>
    <w:rPr>
      <w:rFonts w:ascii="Calibri" w:hAnsi="Calibri" w:cstheme="minorHAnsi"/>
      <w:sz w:val="16"/>
    </w:rPr>
  </w:style>
  <w:style w:type="paragraph" w:styleId="Yltunniste">
    <w:name w:val="header"/>
    <w:basedOn w:val="Normaali"/>
    <w:link w:val="YltunnisteChar"/>
    <w:uiPriority w:val="99"/>
    <w:rsid w:val="00FC1525"/>
    <w:pPr>
      <w:tabs>
        <w:tab w:val="left" w:pos="5216"/>
        <w:tab w:val="left" w:pos="7825"/>
        <w:tab w:val="left" w:pos="9129"/>
      </w:tabs>
      <w:suppressAutoHyphens/>
    </w:pPr>
  </w:style>
  <w:style w:type="character" w:customStyle="1" w:styleId="YltunnisteChar">
    <w:name w:val="Ylätunniste Char"/>
    <w:basedOn w:val="Kappaleenoletusfontti"/>
    <w:link w:val="Yltunniste"/>
    <w:uiPriority w:val="99"/>
    <w:rsid w:val="00B16234"/>
    <w:rPr>
      <w:rFonts w:cstheme="minorHAnsi"/>
    </w:rPr>
  </w:style>
  <w:style w:type="character" w:customStyle="1" w:styleId="Otsikko1Char">
    <w:name w:val="Otsikko 1 Char"/>
    <w:basedOn w:val="Kappaleenoletusfontti"/>
    <w:link w:val="Otsikko1"/>
    <w:uiPriority w:val="9"/>
    <w:rsid w:val="002D3AAC"/>
    <w:rPr>
      <w:rFonts w:asciiTheme="majorHAnsi" w:eastAsiaTheme="majorEastAsia" w:hAnsiTheme="majorHAnsi" w:cstheme="majorBidi"/>
      <w:b/>
      <w:bCs/>
      <w:color w:val="003871" w:themeColor="accent1" w:themeShade="BF"/>
      <w:sz w:val="28"/>
      <w:szCs w:val="28"/>
    </w:rPr>
  </w:style>
  <w:style w:type="character" w:customStyle="1" w:styleId="Otsikko2Char">
    <w:name w:val="Otsikko 2 Char"/>
    <w:basedOn w:val="Kappaleenoletusfontti"/>
    <w:link w:val="Otsikko2"/>
    <w:uiPriority w:val="9"/>
    <w:rsid w:val="002D3AAC"/>
    <w:rPr>
      <w:rFonts w:asciiTheme="majorHAnsi" w:eastAsiaTheme="majorEastAsia" w:hAnsiTheme="majorHAnsi" w:cstheme="majorBidi"/>
      <w:b/>
      <w:bCs/>
      <w:color w:val="004C98" w:themeColor="accent1"/>
      <w:sz w:val="26"/>
      <w:szCs w:val="26"/>
    </w:rPr>
  </w:style>
  <w:style w:type="character" w:customStyle="1" w:styleId="Otsikko3Char">
    <w:name w:val="Otsikko 3 Char"/>
    <w:basedOn w:val="Kappaleenoletusfontti"/>
    <w:link w:val="Otsikko3"/>
    <w:uiPriority w:val="9"/>
    <w:rsid w:val="002D3AAC"/>
    <w:rPr>
      <w:rFonts w:asciiTheme="majorHAnsi" w:eastAsiaTheme="majorEastAsia" w:hAnsiTheme="majorHAnsi" w:cstheme="majorBidi"/>
      <w:b/>
      <w:bCs/>
      <w:color w:val="004C98" w:themeColor="accent1"/>
    </w:rPr>
  </w:style>
  <w:style w:type="character" w:customStyle="1" w:styleId="Otsikko4Char">
    <w:name w:val="Otsikko 4 Char"/>
    <w:basedOn w:val="Kappaleenoletusfontti"/>
    <w:link w:val="Otsikko4"/>
    <w:uiPriority w:val="9"/>
    <w:semiHidden/>
    <w:rsid w:val="002D3AAC"/>
    <w:rPr>
      <w:rFonts w:asciiTheme="majorHAnsi" w:eastAsiaTheme="majorEastAsia" w:hAnsiTheme="majorHAnsi" w:cstheme="majorBidi"/>
      <w:b/>
      <w:bCs/>
      <w:i/>
      <w:iCs/>
      <w:color w:val="004C98" w:themeColor="accent1"/>
    </w:rPr>
  </w:style>
  <w:style w:type="character" w:customStyle="1" w:styleId="Otsikko5Char">
    <w:name w:val="Otsikko 5 Char"/>
    <w:basedOn w:val="Kappaleenoletusfontti"/>
    <w:link w:val="Otsikko5"/>
    <w:uiPriority w:val="9"/>
    <w:semiHidden/>
    <w:rsid w:val="002D3AAC"/>
    <w:rPr>
      <w:rFonts w:asciiTheme="majorHAnsi" w:eastAsiaTheme="majorEastAsia" w:hAnsiTheme="majorHAnsi" w:cstheme="majorBidi"/>
      <w:color w:val="00254B" w:themeColor="accent1" w:themeShade="7F"/>
    </w:rPr>
  </w:style>
  <w:style w:type="character" w:customStyle="1" w:styleId="Otsikko6Char">
    <w:name w:val="Otsikko 6 Char"/>
    <w:basedOn w:val="Kappaleenoletusfontti"/>
    <w:link w:val="Otsikko6"/>
    <w:uiPriority w:val="9"/>
    <w:semiHidden/>
    <w:rsid w:val="002D3AAC"/>
    <w:rPr>
      <w:rFonts w:asciiTheme="majorHAnsi" w:eastAsiaTheme="majorEastAsia" w:hAnsiTheme="majorHAnsi" w:cstheme="majorBidi"/>
      <w:i/>
      <w:iCs/>
      <w:color w:val="00254B" w:themeColor="accent1" w:themeShade="7F"/>
    </w:rPr>
  </w:style>
  <w:style w:type="character" w:customStyle="1" w:styleId="Otsikko7Char">
    <w:name w:val="Otsikko 7 Char"/>
    <w:basedOn w:val="Kappaleenoletusfontti"/>
    <w:link w:val="Otsikko7"/>
    <w:uiPriority w:val="9"/>
    <w:semiHidden/>
    <w:rsid w:val="002D3AAC"/>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semiHidden/>
    <w:rsid w:val="002D3AAC"/>
    <w:rPr>
      <w:rFonts w:asciiTheme="majorHAnsi" w:eastAsiaTheme="majorEastAsia" w:hAnsiTheme="majorHAnsi" w:cstheme="majorBidi"/>
      <w:color w:val="004C98" w:themeColor="accent1"/>
      <w:sz w:val="20"/>
      <w:szCs w:val="20"/>
    </w:rPr>
  </w:style>
  <w:style w:type="character" w:customStyle="1" w:styleId="Otsikko9Char">
    <w:name w:val="Otsikko 9 Char"/>
    <w:basedOn w:val="Kappaleenoletusfontti"/>
    <w:link w:val="Otsikko9"/>
    <w:uiPriority w:val="9"/>
    <w:semiHidden/>
    <w:rsid w:val="002D3AAC"/>
    <w:rPr>
      <w:rFonts w:asciiTheme="majorHAnsi" w:eastAsiaTheme="majorEastAsia" w:hAnsiTheme="majorHAnsi" w:cstheme="majorBidi"/>
      <w:i/>
      <w:iCs/>
      <w:color w:val="404040" w:themeColor="text1" w:themeTint="BF"/>
      <w:sz w:val="20"/>
      <w:szCs w:val="20"/>
    </w:rPr>
  </w:style>
  <w:style w:type="paragraph" w:styleId="Merkittyluettelo">
    <w:name w:val="List Bullet"/>
    <w:basedOn w:val="Normaali"/>
    <w:uiPriority w:val="99"/>
    <w:rsid w:val="00257975"/>
    <w:pPr>
      <w:numPr>
        <w:numId w:val="6"/>
      </w:numPr>
      <w:spacing w:after="220"/>
      <w:contextualSpacing/>
    </w:pPr>
  </w:style>
  <w:style w:type="paragraph" w:styleId="Numeroituluettelo">
    <w:name w:val="List Number"/>
    <w:basedOn w:val="Normaali"/>
    <w:uiPriority w:val="99"/>
    <w:qFormat/>
    <w:rsid w:val="00257975"/>
    <w:pPr>
      <w:numPr>
        <w:numId w:val="8"/>
      </w:numPr>
      <w:spacing w:after="220"/>
      <w:contextualSpacing/>
    </w:pPr>
  </w:style>
  <w:style w:type="numbering" w:customStyle="1" w:styleId="MerkittyluetteloSTUK">
    <w:name w:val="Merkitty luettelo STUK"/>
    <w:uiPriority w:val="99"/>
    <w:rsid w:val="00257975"/>
    <w:pPr>
      <w:numPr>
        <w:numId w:val="1"/>
      </w:numPr>
    </w:pPr>
  </w:style>
  <w:style w:type="paragraph" w:styleId="Eivli">
    <w:name w:val="No Spacing"/>
    <w:uiPriority w:val="1"/>
    <w:qFormat/>
    <w:rsid w:val="002D3AAC"/>
    <w:pPr>
      <w:spacing w:after="0" w:line="240" w:lineRule="auto"/>
    </w:pPr>
  </w:style>
  <w:style w:type="numbering" w:customStyle="1" w:styleId="NumeroituluetteloSTUK">
    <w:name w:val="Numeroitu luettelo STUK"/>
    <w:uiPriority w:val="99"/>
    <w:rsid w:val="00257975"/>
    <w:pPr>
      <w:numPr>
        <w:numId w:val="2"/>
      </w:numPr>
    </w:pPr>
  </w:style>
  <w:style w:type="character" w:styleId="Paikkamerkkiteksti">
    <w:name w:val="Placeholder Text"/>
    <w:basedOn w:val="Kappaleenoletusfontti"/>
    <w:uiPriority w:val="99"/>
    <w:semiHidden/>
    <w:rsid w:val="00FC1525"/>
    <w:rPr>
      <w:color w:val="auto"/>
    </w:rPr>
  </w:style>
  <w:style w:type="table" w:customStyle="1" w:styleId="reunaton">
    <w:name w:val="reunaton"/>
    <w:basedOn w:val="Normaalitaulukko"/>
    <w:uiPriority w:val="99"/>
    <w:qFormat/>
    <w:rsid w:val="00FC1525"/>
    <w:pPr>
      <w:spacing w:after="0" w:line="240" w:lineRule="auto"/>
    </w:pPr>
    <w:rPr>
      <w:rFonts w:cstheme="minorHAnsi"/>
    </w:rPr>
    <w:tblPr/>
  </w:style>
  <w:style w:type="table" w:styleId="TaulukkoRuudukko">
    <w:name w:val="Table Grid"/>
    <w:basedOn w:val="Normaalitaulukko"/>
    <w:uiPriority w:val="59"/>
    <w:rsid w:val="00FC1525"/>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tsikko">
    <w:name w:val="Title"/>
    <w:basedOn w:val="Normaali"/>
    <w:next w:val="Normaali"/>
    <w:link w:val="OtsikkoChar"/>
    <w:uiPriority w:val="10"/>
    <w:qFormat/>
    <w:rsid w:val="002D3AAC"/>
    <w:pPr>
      <w:pBdr>
        <w:bottom w:val="single" w:sz="8" w:space="4" w:color="004C98" w:themeColor="accent1"/>
      </w:pBdr>
      <w:spacing w:after="300" w:line="240" w:lineRule="auto"/>
      <w:contextualSpacing/>
    </w:pPr>
    <w:rPr>
      <w:rFonts w:asciiTheme="majorHAnsi" w:eastAsiaTheme="majorEastAsia" w:hAnsiTheme="majorHAnsi" w:cstheme="majorBidi"/>
      <w:color w:val="003871" w:themeColor="text2" w:themeShade="BF"/>
      <w:spacing w:val="5"/>
      <w:kern w:val="28"/>
      <w:sz w:val="52"/>
      <w:szCs w:val="52"/>
    </w:rPr>
  </w:style>
  <w:style w:type="character" w:customStyle="1" w:styleId="OtsikkoChar">
    <w:name w:val="Otsikko Char"/>
    <w:basedOn w:val="Kappaleenoletusfontti"/>
    <w:link w:val="Otsikko"/>
    <w:uiPriority w:val="10"/>
    <w:rsid w:val="002D3AAC"/>
    <w:rPr>
      <w:rFonts w:asciiTheme="majorHAnsi" w:eastAsiaTheme="majorEastAsia" w:hAnsiTheme="majorHAnsi" w:cstheme="majorBidi"/>
      <w:color w:val="003871" w:themeColor="text2" w:themeShade="BF"/>
      <w:spacing w:val="5"/>
      <w:kern w:val="28"/>
      <w:sz w:val="52"/>
      <w:szCs w:val="52"/>
    </w:rPr>
  </w:style>
  <w:style w:type="paragraph" w:styleId="Lhdeluettelonotsikko">
    <w:name w:val="toa heading"/>
    <w:basedOn w:val="Normaali"/>
    <w:next w:val="Normaali"/>
    <w:uiPriority w:val="99"/>
    <w:semiHidden/>
    <w:rsid w:val="00FC1525"/>
    <w:pPr>
      <w:spacing w:before="120"/>
    </w:pPr>
    <w:rPr>
      <w:rFonts w:asciiTheme="majorHAnsi" w:eastAsiaTheme="majorEastAsia" w:hAnsiTheme="majorHAnsi" w:cstheme="majorBidi"/>
      <w:b/>
      <w:bCs/>
      <w:sz w:val="24"/>
      <w:szCs w:val="24"/>
    </w:rPr>
  </w:style>
  <w:style w:type="paragraph" w:styleId="Sisluet1">
    <w:name w:val="toc 1"/>
    <w:basedOn w:val="Normaali"/>
    <w:next w:val="Normaali"/>
    <w:autoRedefine/>
    <w:uiPriority w:val="39"/>
    <w:semiHidden/>
    <w:rsid w:val="00FC1525"/>
    <w:pPr>
      <w:spacing w:after="100"/>
    </w:pPr>
  </w:style>
  <w:style w:type="paragraph" w:styleId="Sisllysluettelonotsikko">
    <w:name w:val="TOC Heading"/>
    <w:basedOn w:val="Otsikko1"/>
    <w:next w:val="Normaali"/>
    <w:uiPriority w:val="39"/>
    <w:semiHidden/>
    <w:unhideWhenUsed/>
    <w:qFormat/>
    <w:rsid w:val="002D3AAC"/>
    <w:pPr>
      <w:outlineLvl w:val="9"/>
    </w:pPr>
  </w:style>
  <w:style w:type="paragraph" w:styleId="Merkittyluettelo2">
    <w:name w:val="List Bullet 2"/>
    <w:basedOn w:val="Normaali"/>
    <w:uiPriority w:val="99"/>
    <w:rsid w:val="00257975"/>
    <w:pPr>
      <w:numPr>
        <w:numId w:val="7"/>
      </w:numPr>
      <w:spacing w:after="220"/>
      <w:contextualSpacing/>
    </w:pPr>
  </w:style>
  <w:style w:type="paragraph" w:styleId="Numeroituluettelo2">
    <w:name w:val="List Number 2"/>
    <w:basedOn w:val="Normaali"/>
    <w:uiPriority w:val="99"/>
    <w:unhideWhenUsed/>
    <w:rsid w:val="00257975"/>
    <w:pPr>
      <w:numPr>
        <w:numId w:val="5"/>
      </w:numPr>
      <w:spacing w:after="220"/>
      <w:contextualSpacing/>
    </w:pPr>
  </w:style>
  <w:style w:type="numbering" w:customStyle="1" w:styleId="Stukmerkittyluettelo2">
    <w:name w:val="Stuk merkitty luettelo 2"/>
    <w:uiPriority w:val="99"/>
    <w:rsid w:val="00257975"/>
    <w:pPr>
      <w:numPr>
        <w:numId w:val="3"/>
      </w:numPr>
    </w:pPr>
  </w:style>
  <w:style w:type="numbering" w:customStyle="1" w:styleId="Stuknumeroituluettelo2">
    <w:name w:val="Stuk numeroitu luettelo 2"/>
    <w:uiPriority w:val="99"/>
    <w:rsid w:val="00257975"/>
    <w:pPr>
      <w:numPr>
        <w:numId w:val="4"/>
      </w:numPr>
    </w:pPr>
  </w:style>
  <w:style w:type="paragraph" w:styleId="Kuvanotsikko">
    <w:name w:val="caption"/>
    <w:basedOn w:val="Normaali"/>
    <w:next w:val="Normaali"/>
    <w:uiPriority w:val="35"/>
    <w:semiHidden/>
    <w:unhideWhenUsed/>
    <w:qFormat/>
    <w:rsid w:val="002D3AAC"/>
    <w:pPr>
      <w:spacing w:line="240" w:lineRule="auto"/>
    </w:pPr>
    <w:rPr>
      <w:b/>
      <w:bCs/>
      <w:color w:val="004C98" w:themeColor="accent1"/>
      <w:sz w:val="18"/>
      <w:szCs w:val="18"/>
    </w:rPr>
  </w:style>
  <w:style w:type="paragraph" w:styleId="Alaotsikko">
    <w:name w:val="Subtitle"/>
    <w:basedOn w:val="Normaali"/>
    <w:next w:val="Normaali"/>
    <w:link w:val="AlaotsikkoChar"/>
    <w:uiPriority w:val="11"/>
    <w:qFormat/>
    <w:rsid w:val="002D3AAC"/>
    <w:pPr>
      <w:numPr>
        <w:ilvl w:val="1"/>
      </w:numPr>
    </w:pPr>
    <w:rPr>
      <w:rFonts w:asciiTheme="majorHAnsi" w:eastAsiaTheme="majorEastAsia" w:hAnsiTheme="majorHAnsi" w:cstheme="majorBidi"/>
      <w:i/>
      <w:iCs/>
      <w:color w:val="004C98" w:themeColor="accent1"/>
      <w:spacing w:val="15"/>
      <w:sz w:val="24"/>
      <w:szCs w:val="24"/>
    </w:rPr>
  </w:style>
  <w:style w:type="character" w:customStyle="1" w:styleId="AlaotsikkoChar">
    <w:name w:val="Alaotsikko Char"/>
    <w:basedOn w:val="Kappaleenoletusfontti"/>
    <w:link w:val="Alaotsikko"/>
    <w:uiPriority w:val="11"/>
    <w:rsid w:val="002D3AAC"/>
    <w:rPr>
      <w:rFonts w:asciiTheme="majorHAnsi" w:eastAsiaTheme="majorEastAsia" w:hAnsiTheme="majorHAnsi" w:cstheme="majorBidi"/>
      <w:i/>
      <w:iCs/>
      <w:color w:val="004C98" w:themeColor="accent1"/>
      <w:spacing w:val="15"/>
      <w:sz w:val="24"/>
      <w:szCs w:val="24"/>
    </w:rPr>
  </w:style>
  <w:style w:type="character" w:styleId="Voimakas">
    <w:name w:val="Strong"/>
    <w:basedOn w:val="Kappaleenoletusfontti"/>
    <w:uiPriority w:val="22"/>
    <w:qFormat/>
    <w:rsid w:val="002D3AAC"/>
    <w:rPr>
      <w:b/>
      <w:bCs/>
    </w:rPr>
  </w:style>
  <w:style w:type="character" w:styleId="Korostus">
    <w:name w:val="Emphasis"/>
    <w:basedOn w:val="Kappaleenoletusfontti"/>
    <w:uiPriority w:val="20"/>
    <w:qFormat/>
    <w:rsid w:val="002D3AAC"/>
    <w:rPr>
      <w:i/>
      <w:iCs/>
    </w:rPr>
  </w:style>
  <w:style w:type="paragraph" w:styleId="Luettelokappale">
    <w:name w:val="List Paragraph"/>
    <w:basedOn w:val="Normaali"/>
    <w:uiPriority w:val="34"/>
    <w:qFormat/>
    <w:rsid w:val="002D3AAC"/>
    <w:pPr>
      <w:ind w:left="720"/>
      <w:contextualSpacing/>
    </w:pPr>
  </w:style>
  <w:style w:type="paragraph" w:styleId="Lainaus">
    <w:name w:val="Quote"/>
    <w:basedOn w:val="Normaali"/>
    <w:next w:val="Normaali"/>
    <w:link w:val="LainausChar"/>
    <w:uiPriority w:val="29"/>
    <w:qFormat/>
    <w:rsid w:val="002D3AAC"/>
    <w:rPr>
      <w:i/>
      <w:iCs/>
      <w:color w:val="000000" w:themeColor="text1"/>
    </w:rPr>
  </w:style>
  <w:style w:type="character" w:customStyle="1" w:styleId="LainausChar">
    <w:name w:val="Lainaus Char"/>
    <w:basedOn w:val="Kappaleenoletusfontti"/>
    <w:link w:val="Lainaus"/>
    <w:uiPriority w:val="29"/>
    <w:rsid w:val="002D3AAC"/>
    <w:rPr>
      <w:i/>
      <w:iCs/>
      <w:color w:val="000000" w:themeColor="text1"/>
    </w:rPr>
  </w:style>
  <w:style w:type="paragraph" w:styleId="Erottuvalainaus">
    <w:name w:val="Intense Quote"/>
    <w:basedOn w:val="Normaali"/>
    <w:next w:val="Normaali"/>
    <w:link w:val="ErottuvalainausChar"/>
    <w:uiPriority w:val="30"/>
    <w:qFormat/>
    <w:rsid w:val="002D3AAC"/>
    <w:pPr>
      <w:pBdr>
        <w:bottom w:val="single" w:sz="4" w:space="4" w:color="004C98" w:themeColor="accent1"/>
      </w:pBdr>
      <w:spacing w:before="200" w:after="280"/>
      <w:ind w:left="936" w:right="936"/>
    </w:pPr>
    <w:rPr>
      <w:b/>
      <w:bCs/>
      <w:i/>
      <w:iCs/>
      <w:color w:val="004C98" w:themeColor="accent1"/>
    </w:rPr>
  </w:style>
  <w:style w:type="character" w:customStyle="1" w:styleId="ErottuvalainausChar">
    <w:name w:val="Erottuva lainaus Char"/>
    <w:basedOn w:val="Kappaleenoletusfontti"/>
    <w:link w:val="Erottuvalainaus"/>
    <w:uiPriority w:val="30"/>
    <w:rsid w:val="002D3AAC"/>
    <w:rPr>
      <w:b/>
      <w:bCs/>
      <w:i/>
      <w:iCs/>
      <w:color w:val="004C98" w:themeColor="accent1"/>
    </w:rPr>
  </w:style>
  <w:style w:type="character" w:styleId="Hienovarainenkorostus">
    <w:name w:val="Subtle Emphasis"/>
    <w:basedOn w:val="Kappaleenoletusfontti"/>
    <w:uiPriority w:val="19"/>
    <w:qFormat/>
    <w:rsid w:val="002D3AAC"/>
    <w:rPr>
      <w:i/>
      <w:iCs/>
      <w:color w:val="808080" w:themeColor="text1" w:themeTint="7F"/>
    </w:rPr>
  </w:style>
  <w:style w:type="character" w:styleId="Voimakaskorostus">
    <w:name w:val="Intense Emphasis"/>
    <w:basedOn w:val="Kappaleenoletusfontti"/>
    <w:uiPriority w:val="21"/>
    <w:qFormat/>
    <w:rsid w:val="002D3AAC"/>
    <w:rPr>
      <w:b/>
      <w:bCs/>
      <w:i/>
      <w:iCs/>
      <w:color w:val="004C98" w:themeColor="accent1"/>
    </w:rPr>
  </w:style>
  <w:style w:type="character" w:styleId="Hienovarainenviittaus">
    <w:name w:val="Subtle Reference"/>
    <w:basedOn w:val="Kappaleenoletusfontti"/>
    <w:uiPriority w:val="31"/>
    <w:qFormat/>
    <w:rsid w:val="002D3AAC"/>
    <w:rPr>
      <w:smallCaps/>
      <w:color w:val="00822D" w:themeColor="accent2"/>
      <w:u w:val="single"/>
    </w:rPr>
  </w:style>
  <w:style w:type="character" w:styleId="Erottuvaviittaus">
    <w:name w:val="Intense Reference"/>
    <w:basedOn w:val="Kappaleenoletusfontti"/>
    <w:uiPriority w:val="32"/>
    <w:qFormat/>
    <w:rsid w:val="002D3AAC"/>
    <w:rPr>
      <w:b/>
      <w:bCs/>
      <w:smallCaps/>
      <w:color w:val="00822D" w:themeColor="accent2"/>
      <w:spacing w:val="5"/>
      <w:u w:val="single"/>
    </w:rPr>
  </w:style>
  <w:style w:type="character" w:styleId="Kirjannimike">
    <w:name w:val="Book Title"/>
    <w:basedOn w:val="Kappaleenoletusfontti"/>
    <w:uiPriority w:val="33"/>
    <w:qFormat/>
    <w:rsid w:val="002D3AAC"/>
    <w:rPr>
      <w:b/>
      <w:bCs/>
      <w:smallCaps/>
      <w:spacing w:val="5"/>
    </w:rPr>
  </w:style>
  <w:style w:type="character" w:styleId="Kommentinviite">
    <w:name w:val="annotation reference"/>
    <w:basedOn w:val="Kappaleenoletusfontti"/>
    <w:uiPriority w:val="99"/>
    <w:semiHidden/>
    <w:unhideWhenUsed/>
    <w:rsid w:val="00EF5BD7"/>
    <w:rPr>
      <w:sz w:val="16"/>
      <w:szCs w:val="16"/>
    </w:rPr>
  </w:style>
  <w:style w:type="paragraph" w:styleId="Kommentinteksti">
    <w:name w:val="annotation text"/>
    <w:basedOn w:val="Normaali"/>
    <w:link w:val="KommentintekstiChar"/>
    <w:uiPriority w:val="99"/>
    <w:unhideWhenUsed/>
    <w:rsid w:val="00EF5BD7"/>
    <w:pPr>
      <w:spacing w:line="240" w:lineRule="auto"/>
    </w:pPr>
    <w:rPr>
      <w:sz w:val="20"/>
      <w:szCs w:val="20"/>
    </w:rPr>
  </w:style>
  <w:style w:type="character" w:customStyle="1" w:styleId="KommentintekstiChar">
    <w:name w:val="Kommentin teksti Char"/>
    <w:basedOn w:val="Kappaleenoletusfontti"/>
    <w:link w:val="Kommentinteksti"/>
    <w:uiPriority w:val="99"/>
    <w:rsid w:val="00EF5BD7"/>
    <w:rPr>
      <w:sz w:val="20"/>
      <w:szCs w:val="20"/>
    </w:rPr>
  </w:style>
  <w:style w:type="paragraph" w:styleId="Kommentinotsikko">
    <w:name w:val="annotation subject"/>
    <w:basedOn w:val="Kommentinteksti"/>
    <w:next w:val="Kommentinteksti"/>
    <w:link w:val="KommentinotsikkoChar"/>
    <w:uiPriority w:val="99"/>
    <w:semiHidden/>
    <w:unhideWhenUsed/>
    <w:rsid w:val="00EF5BD7"/>
    <w:rPr>
      <w:b/>
      <w:bCs/>
    </w:rPr>
  </w:style>
  <w:style w:type="character" w:customStyle="1" w:styleId="KommentinotsikkoChar">
    <w:name w:val="Kommentin otsikko Char"/>
    <w:basedOn w:val="KommentintekstiChar"/>
    <w:link w:val="Kommentinotsikko"/>
    <w:uiPriority w:val="99"/>
    <w:semiHidden/>
    <w:rsid w:val="00EF5BD7"/>
    <w:rPr>
      <w:b/>
      <w:bCs/>
      <w:sz w:val="20"/>
      <w:szCs w:val="20"/>
    </w:rPr>
  </w:style>
  <w:style w:type="table" w:customStyle="1" w:styleId="MediumGrid3-Accent21">
    <w:name w:val="Medium Grid 3 - Accent 21"/>
    <w:basedOn w:val="Normaalitaulukko"/>
    <w:next w:val="Normaaliruudukko3-korostus2"/>
    <w:uiPriority w:val="69"/>
    <w:rsid w:val="00506442"/>
    <w:pPr>
      <w:spacing w:after="0" w:line="240" w:lineRule="auto"/>
    </w:pPr>
    <w:rPr>
      <w:rFonts w:ascii="Cambria" w:eastAsia="Cambria" w:hAnsi="Cambria" w:cs="Times New Roman"/>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FF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22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22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22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22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1FF8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1FF83" w:themeFill="accent2" w:themeFillTint="7F"/>
      </w:tcPr>
    </w:tblStylePr>
  </w:style>
  <w:style w:type="table" w:styleId="Normaaliruudukko3-korostus2">
    <w:name w:val="Medium Grid 3 Accent 2"/>
    <w:basedOn w:val="Normaalitaulukko"/>
    <w:uiPriority w:val="69"/>
    <w:rsid w:val="0050644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FF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22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22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22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22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1FF8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1FF83" w:themeFill="accent2" w:themeFillTint="7F"/>
      </w:tcPr>
    </w:tblStylePr>
  </w:style>
  <w:style w:type="paragraph" w:styleId="Alaviitteenteksti">
    <w:name w:val="footnote text"/>
    <w:basedOn w:val="Normaali"/>
    <w:link w:val="AlaviitteentekstiChar"/>
    <w:uiPriority w:val="99"/>
    <w:semiHidden/>
    <w:unhideWhenUsed/>
    <w:rsid w:val="00865F79"/>
    <w:pPr>
      <w:spacing w:after="0" w:line="240" w:lineRule="auto"/>
      <w:jc w:val="both"/>
    </w:pPr>
    <w:rPr>
      <w:rFonts w:ascii="Cambria" w:eastAsia="Cambria" w:hAnsi="Cambria" w:cs="Cambria"/>
      <w:sz w:val="20"/>
      <w:szCs w:val="20"/>
    </w:rPr>
  </w:style>
  <w:style w:type="character" w:customStyle="1" w:styleId="AlaviitteentekstiChar">
    <w:name w:val="Alaviitteen teksti Char"/>
    <w:basedOn w:val="Kappaleenoletusfontti"/>
    <w:link w:val="Alaviitteenteksti"/>
    <w:uiPriority w:val="99"/>
    <w:semiHidden/>
    <w:rsid w:val="00865F79"/>
    <w:rPr>
      <w:rFonts w:ascii="Cambria" w:eastAsia="Cambria" w:hAnsi="Cambria" w:cs="Cambria"/>
      <w:sz w:val="20"/>
      <w:szCs w:val="20"/>
    </w:rPr>
  </w:style>
  <w:style w:type="character" w:styleId="Hyperlinkki">
    <w:name w:val="Hyperlink"/>
    <w:basedOn w:val="Kappaleenoletusfontti"/>
    <w:uiPriority w:val="99"/>
    <w:rsid w:val="00E86079"/>
    <w:rPr>
      <w:color w:val="0000FF"/>
      <w:u w:val="single"/>
    </w:rPr>
  </w:style>
  <w:style w:type="paragraph" w:styleId="Muutos">
    <w:name w:val="Revision"/>
    <w:hidden/>
    <w:uiPriority w:val="99"/>
    <w:semiHidden/>
    <w:rsid w:val="00BF5DFA"/>
    <w:pPr>
      <w:spacing w:after="0" w:line="240" w:lineRule="auto"/>
    </w:pPr>
  </w:style>
  <w:style w:type="paragraph" w:customStyle="1" w:styleId="CM1">
    <w:name w:val="CM1"/>
    <w:basedOn w:val="Normaali"/>
    <w:next w:val="Normaali"/>
    <w:uiPriority w:val="99"/>
    <w:rsid w:val="00806AB2"/>
    <w:pPr>
      <w:autoSpaceDE w:val="0"/>
      <w:autoSpaceDN w:val="0"/>
      <w:adjustRightInd w:val="0"/>
      <w:spacing w:after="0" w:line="240" w:lineRule="auto"/>
    </w:pPr>
    <w:rPr>
      <w:rFonts w:ascii="EUAlbertina" w:hAnsi="EUAlbertina"/>
      <w:sz w:val="24"/>
      <w:szCs w:val="24"/>
    </w:rPr>
  </w:style>
  <w:style w:type="paragraph" w:customStyle="1" w:styleId="CM3">
    <w:name w:val="CM3"/>
    <w:basedOn w:val="Normaali"/>
    <w:next w:val="Normaali"/>
    <w:uiPriority w:val="99"/>
    <w:rsid w:val="00806AB2"/>
    <w:pPr>
      <w:autoSpaceDE w:val="0"/>
      <w:autoSpaceDN w:val="0"/>
      <w:adjustRightInd w:val="0"/>
      <w:spacing w:after="0" w:line="240" w:lineRule="auto"/>
    </w:pPr>
    <w:rPr>
      <w:rFonts w:ascii="EUAlbertina" w:hAnsi="EUAlbertina"/>
      <w:sz w:val="24"/>
      <w:szCs w:val="24"/>
    </w:rPr>
  </w:style>
  <w:style w:type="paragraph" w:customStyle="1" w:styleId="CM4">
    <w:name w:val="CM4"/>
    <w:basedOn w:val="Normaali"/>
    <w:next w:val="Normaali"/>
    <w:uiPriority w:val="99"/>
    <w:rsid w:val="00806AB2"/>
    <w:pPr>
      <w:autoSpaceDE w:val="0"/>
      <w:autoSpaceDN w:val="0"/>
      <w:adjustRightInd w:val="0"/>
      <w:spacing w:after="0" w:line="240" w:lineRule="auto"/>
    </w:pPr>
    <w:rPr>
      <w:rFonts w:ascii="EUAlbertina"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7928">
      <w:bodyDiv w:val="1"/>
      <w:marLeft w:val="0"/>
      <w:marRight w:val="0"/>
      <w:marTop w:val="0"/>
      <w:marBottom w:val="0"/>
      <w:divBdr>
        <w:top w:val="none" w:sz="0" w:space="0" w:color="auto"/>
        <w:left w:val="none" w:sz="0" w:space="0" w:color="auto"/>
        <w:bottom w:val="none" w:sz="0" w:space="0" w:color="auto"/>
        <w:right w:val="none" w:sz="0" w:space="0" w:color="auto"/>
      </w:divBdr>
      <w:divsChild>
        <w:div w:id="249782138">
          <w:marLeft w:val="0"/>
          <w:marRight w:val="0"/>
          <w:marTop w:val="0"/>
          <w:marBottom w:val="0"/>
          <w:divBdr>
            <w:top w:val="none" w:sz="0" w:space="0" w:color="auto"/>
            <w:left w:val="none" w:sz="0" w:space="0" w:color="auto"/>
            <w:bottom w:val="none" w:sz="0" w:space="0" w:color="auto"/>
            <w:right w:val="none" w:sz="0" w:space="0" w:color="auto"/>
          </w:divBdr>
          <w:divsChild>
            <w:div w:id="1128204806">
              <w:marLeft w:val="0"/>
              <w:marRight w:val="0"/>
              <w:marTop w:val="0"/>
              <w:marBottom w:val="0"/>
              <w:divBdr>
                <w:top w:val="none" w:sz="0" w:space="0" w:color="auto"/>
                <w:left w:val="none" w:sz="0" w:space="0" w:color="auto"/>
                <w:bottom w:val="none" w:sz="0" w:space="0" w:color="auto"/>
                <w:right w:val="none" w:sz="0" w:space="0" w:color="auto"/>
              </w:divBdr>
              <w:divsChild>
                <w:div w:id="1596788305">
                  <w:marLeft w:val="0"/>
                  <w:marRight w:val="0"/>
                  <w:marTop w:val="0"/>
                  <w:marBottom w:val="0"/>
                  <w:divBdr>
                    <w:top w:val="none" w:sz="0" w:space="0" w:color="auto"/>
                    <w:left w:val="none" w:sz="0" w:space="0" w:color="auto"/>
                    <w:bottom w:val="none" w:sz="0" w:space="0" w:color="auto"/>
                    <w:right w:val="none" w:sz="0" w:space="0" w:color="auto"/>
                  </w:divBdr>
                  <w:divsChild>
                    <w:div w:id="18328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15703">
      <w:bodyDiv w:val="1"/>
      <w:marLeft w:val="0"/>
      <w:marRight w:val="0"/>
      <w:marTop w:val="0"/>
      <w:marBottom w:val="0"/>
      <w:divBdr>
        <w:top w:val="none" w:sz="0" w:space="0" w:color="auto"/>
        <w:left w:val="none" w:sz="0" w:space="0" w:color="auto"/>
        <w:bottom w:val="none" w:sz="0" w:space="0" w:color="auto"/>
        <w:right w:val="none" w:sz="0" w:space="0" w:color="auto"/>
      </w:divBdr>
      <w:divsChild>
        <w:div w:id="543250341">
          <w:marLeft w:val="0"/>
          <w:marRight w:val="0"/>
          <w:marTop w:val="0"/>
          <w:marBottom w:val="0"/>
          <w:divBdr>
            <w:top w:val="none" w:sz="0" w:space="0" w:color="auto"/>
            <w:left w:val="none" w:sz="0" w:space="0" w:color="auto"/>
            <w:bottom w:val="none" w:sz="0" w:space="0" w:color="auto"/>
            <w:right w:val="none" w:sz="0" w:space="0" w:color="auto"/>
          </w:divBdr>
          <w:divsChild>
            <w:div w:id="947588468">
              <w:marLeft w:val="0"/>
              <w:marRight w:val="0"/>
              <w:marTop w:val="0"/>
              <w:marBottom w:val="0"/>
              <w:divBdr>
                <w:top w:val="none" w:sz="0" w:space="0" w:color="auto"/>
                <w:left w:val="none" w:sz="0" w:space="0" w:color="auto"/>
                <w:bottom w:val="none" w:sz="0" w:space="0" w:color="auto"/>
                <w:right w:val="none" w:sz="0" w:space="0" w:color="auto"/>
              </w:divBdr>
              <w:divsChild>
                <w:div w:id="5206556">
                  <w:marLeft w:val="0"/>
                  <w:marRight w:val="0"/>
                  <w:marTop w:val="0"/>
                  <w:marBottom w:val="0"/>
                  <w:divBdr>
                    <w:top w:val="none" w:sz="0" w:space="0" w:color="auto"/>
                    <w:left w:val="none" w:sz="0" w:space="0" w:color="auto"/>
                    <w:bottom w:val="none" w:sz="0" w:space="0" w:color="auto"/>
                    <w:right w:val="none" w:sz="0" w:space="0" w:color="auto"/>
                  </w:divBdr>
                  <w:divsChild>
                    <w:div w:id="80604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81712">
      <w:bodyDiv w:val="1"/>
      <w:marLeft w:val="0"/>
      <w:marRight w:val="0"/>
      <w:marTop w:val="0"/>
      <w:marBottom w:val="0"/>
      <w:divBdr>
        <w:top w:val="none" w:sz="0" w:space="0" w:color="auto"/>
        <w:left w:val="none" w:sz="0" w:space="0" w:color="auto"/>
        <w:bottom w:val="none" w:sz="0" w:space="0" w:color="auto"/>
        <w:right w:val="none" w:sz="0" w:space="0" w:color="auto"/>
      </w:divBdr>
      <w:divsChild>
        <w:div w:id="721177649">
          <w:marLeft w:val="0"/>
          <w:marRight w:val="0"/>
          <w:marTop w:val="0"/>
          <w:marBottom w:val="0"/>
          <w:divBdr>
            <w:top w:val="none" w:sz="0" w:space="0" w:color="auto"/>
            <w:left w:val="none" w:sz="0" w:space="0" w:color="auto"/>
            <w:bottom w:val="none" w:sz="0" w:space="0" w:color="auto"/>
            <w:right w:val="none" w:sz="0" w:space="0" w:color="auto"/>
          </w:divBdr>
          <w:divsChild>
            <w:div w:id="2074158340">
              <w:marLeft w:val="0"/>
              <w:marRight w:val="0"/>
              <w:marTop w:val="0"/>
              <w:marBottom w:val="0"/>
              <w:divBdr>
                <w:top w:val="none" w:sz="0" w:space="0" w:color="FFCF11"/>
                <w:left w:val="none" w:sz="0" w:space="0" w:color="FFCF11"/>
                <w:bottom w:val="none" w:sz="0" w:space="0" w:color="FFCF11"/>
                <w:right w:val="none" w:sz="0" w:space="0" w:color="FFCF11"/>
              </w:divBdr>
            </w:div>
          </w:divsChild>
        </w:div>
      </w:divsChild>
    </w:div>
    <w:div w:id="406802827">
      <w:bodyDiv w:val="1"/>
      <w:marLeft w:val="0"/>
      <w:marRight w:val="0"/>
      <w:marTop w:val="0"/>
      <w:marBottom w:val="0"/>
      <w:divBdr>
        <w:top w:val="none" w:sz="0" w:space="0" w:color="auto"/>
        <w:left w:val="none" w:sz="0" w:space="0" w:color="auto"/>
        <w:bottom w:val="none" w:sz="0" w:space="0" w:color="auto"/>
        <w:right w:val="none" w:sz="0" w:space="0" w:color="auto"/>
      </w:divBdr>
    </w:div>
    <w:div w:id="614601866">
      <w:bodyDiv w:val="1"/>
      <w:marLeft w:val="0"/>
      <w:marRight w:val="0"/>
      <w:marTop w:val="0"/>
      <w:marBottom w:val="0"/>
      <w:divBdr>
        <w:top w:val="none" w:sz="0" w:space="0" w:color="auto"/>
        <w:left w:val="none" w:sz="0" w:space="0" w:color="auto"/>
        <w:bottom w:val="none" w:sz="0" w:space="0" w:color="auto"/>
        <w:right w:val="none" w:sz="0" w:space="0" w:color="auto"/>
      </w:divBdr>
    </w:div>
    <w:div w:id="949359234">
      <w:bodyDiv w:val="1"/>
      <w:marLeft w:val="0"/>
      <w:marRight w:val="0"/>
      <w:marTop w:val="0"/>
      <w:marBottom w:val="0"/>
      <w:divBdr>
        <w:top w:val="none" w:sz="0" w:space="0" w:color="auto"/>
        <w:left w:val="none" w:sz="0" w:space="0" w:color="auto"/>
        <w:bottom w:val="none" w:sz="0" w:space="0" w:color="auto"/>
        <w:right w:val="none" w:sz="0" w:space="0" w:color="auto"/>
      </w:divBdr>
      <w:divsChild>
        <w:div w:id="1633975850">
          <w:marLeft w:val="0"/>
          <w:marRight w:val="0"/>
          <w:marTop w:val="0"/>
          <w:marBottom w:val="0"/>
          <w:divBdr>
            <w:top w:val="none" w:sz="0" w:space="0" w:color="auto"/>
            <w:left w:val="none" w:sz="0" w:space="0" w:color="auto"/>
            <w:bottom w:val="none" w:sz="0" w:space="0" w:color="auto"/>
            <w:right w:val="none" w:sz="0" w:space="0" w:color="auto"/>
          </w:divBdr>
          <w:divsChild>
            <w:div w:id="1836456013">
              <w:marLeft w:val="0"/>
              <w:marRight w:val="0"/>
              <w:marTop w:val="0"/>
              <w:marBottom w:val="0"/>
              <w:divBdr>
                <w:top w:val="none" w:sz="0" w:space="0" w:color="auto"/>
                <w:left w:val="none" w:sz="0" w:space="0" w:color="auto"/>
                <w:bottom w:val="none" w:sz="0" w:space="0" w:color="auto"/>
                <w:right w:val="none" w:sz="0" w:space="0" w:color="auto"/>
              </w:divBdr>
              <w:divsChild>
                <w:div w:id="1810248050">
                  <w:marLeft w:val="0"/>
                  <w:marRight w:val="0"/>
                  <w:marTop w:val="0"/>
                  <w:marBottom w:val="0"/>
                  <w:divBdr>
                    <w:top w:val="none" w:sz="0" w:space="0" w:color="auto"/>
                    <w:left w:val="none" w:sz="0" w:space="0" w:color="auto"/>
                    <w:bottom w:val="none" w:sz="0" w:space="0" w:color="auto"/>
                    <w:right w:val="none" w:sz="0" w:space="0" w:color="auto"/>
                  </w:divBdr>
                  <w:divsChild>
                    <w:div w:id="11607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054172">
      <w:bodyDiv w:val="1"/>
      <w:marLeft w:val="0"/>
      <w:marRight w:val="0"/>
      <w:marTop w:val="0"/>
      <w:marBottom w:val="0"/>
      <w:divBdr>
        <w:top w:val="none" w:sz="0" w:space="0" w:color="auto"/>
        <w:left w:val="none" w:sz="0" w:space="0" w:color="auto"/>
        <w:bottom w:val="none" w:sz="0" w:space="0" w:color="auto"/>
        <w:right w:val="none" w:sz="0" w:space="0" w:color="auto"/>
      </w:divBdr>
      <w:divsChild>
        <w:div w:id="1442799675">
          <w:marLeft w:val="0"/>
          <w:marRight w:val="0"/>
          <w:marTop w:val="0"/>
          <w:marBottom w:val="0"/>
          <w:divBdr>
            <w:top w:val="none" w:sz="0" w:space="0" w:color="auto"/>
            <w:left w:val="none" w:sz="0" w:space="0" w:color="auto"/>
            <w:bottom w:val="none" w:sz="0" w:space="0" w:color="auto"/>
            <w:right w:val="none" w:sz="0" w:space="0" w:color="auto"/>
          </w:divBdr>
          <w:divsChild>
            <w:div w:id="1074662279">
              <w:marLeft w:val="0"/>
              <w:marRight w:val="0"/>
              <w:marTop w:val="0"/>
              <w:marBottom w:val="0"/>
              <w:divBdr>
                <w:top w:val="none" w:sz="0" w:space="0" w:color="FFCF11"/>
                <w:left w:val="none" w:sz="0" w:space="0" w:color="FFCF11"/>
                <w:bottom w:val="none" w:sz="0" w:space="0" w:color="FFCF11"/>
                <w:right w:val="none" w:sz="0" w:space="0" w:color="FFCF11"/>
              </w:divBdr>
            </w:div>
          </w:divsChild>
        </w:div>
      </w:divsChild>
    </w:div>
    <w:div w:id="1433360149">
      <w:bodyDiv w:val="1"/>
      <w:marLeft w:val="0"/>
      <w:marRight w:val="0"/>
      <w:marTop w:val="0"/>
      <w:marBottom w:val="0"/>
      <w:divBdr>
        <w:top w:val="none" w:sz="0" w:space="0" w:color="auto"/>
        <w:left w:val="none" w:sz="0" w:space="0" w:color="auto"/>
        <w:bottom w:val="none" w:sz="0" w:space="0" w:color="auto"/>
        <w:right w:val="none" w:sz="0" w:space="0" w:color="auto"/>
      </w:divBdr>
    </w:div>
    <w:div w:id="1749114821">
      <w:bodyDiv w:val="1"/>
      <w:marLeft w:val="0"/>
      <w:marRight w:val="0"/>
      <w:marTop w:val="0"/>
      <w:marBottom w:val="0"/>
      <w:divBdr>
        <w:top w:val="none" w:sz="0" w:space="0" w:color="auto"/>
        <w:left w:val="none" w:sz="0" w:space="0" w:color="auto"/>
        <w:bottom w:val="none" w:sz="0" w:space="0" w:color="auto"/>
        <w:right w:val="none" w:sz="0" w:space="0" w:color="auto"/>
      </w:divBdr>
      <w:divsChild>
        <w:div w:id="1049692320">
          <w:marLeft w:val="0"/>
          <w:marRight w:val="0"/>
          <w:marTop w:val="0"/>
          <w:marBottom w:val="0"/>
          <w:divBdr>
            <w:top w:val="none" w:sz="0" w:space="0" w:color="auto"/>
            <w:left w:val="none" w:sz="0" w:space="0" w:color="auto"/>
            <w:bottom w:val="none" w:sz="0" w:space="0" w:color="auto"/>
            <w:right w:val="none" w:sz="0" w:space="0" w:color="auto"/>
          </w:divBdr>
          <w:divsChild>
            <w:div w:id="1387921453">
              <w:marLeft w:val="0"/>
              <w:marRight w:val="0"/>
              <w:marTop w:val="0"/>
              <w:marBottom w:val="0"/>
              <w:divBdr>
                <w:top w:val="none" w:sz="0" w:space="0" w:color="auto"/>
                <w:left w:val="none" w:sz="0" w:space="0" w:color="auto"/>
                <w:bottom w:val="none" w:sz="0" w:space="0" w:color="auto"/>
                <w:right w:val="none" w:sz="0" w:space="0" w:color="auto"/>
              </w:divBdr>
              <w:divsChild>
                <w:div w:id="575822479">
                  <w:marLeft w:val="0"/>
                  <w:marRight w:val="0"/>
                  <w:marTop w:val="0"/>
                  <w:marBottom w:val="0"/>
                  <w:divBdr>
                    <w:top w:val="none" w:sz="0" w:space="0" w:color="auto"/>
                    <w:left w:val="none" w:sz="0" w:space="0" w:color="auto"/>
                    <w:bottom w:val="none" w:sz="0" w:space="0" w:color="auto"/>
                    <w:right w:val="none" w:sz="0" w:space="0" w:color="auto"/>
                  </w:divBdr>
                  <w:divsChild>
                    <w:div w:id="40488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5.bin"/><Relationship Id="rId34" Type="http://schemas.openxmlformats.org/officeDocument/2006/relationships/image" Target="media/image12.wmf"/><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10" Type="http://schemas.openxmlformats.org/officeDocument/2006/relationships/footnotes" Target="footnotes.xml"/><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s>
</file>

<file path=word/theme/theme1.xml><?xml version="1.0" encoding="utf-8"?>
<a:theme xmlns:a="http://schemas.openxmlformats.org/drawingml/2006/main" name="STUK">
  <a:themeElements>
    <a:clrScheme name="_STUK colors">
      <a:dk1>
        <a:sysClr val="windowText" lastClr="000000"/>
      </a:dk1>
      <a:lt1>
        <a:sysClr val="window" lastClr="FFFFFF"/>
      </a:lt1>
      <a:dk2>
        <a:srgbClr val="004C98"/>
      </a:dk2>
      <a:lt2>
        <a:srgbClr val="D8D090"/>
      </a:lt2>
      <a:accent1>
        <a:srgbClr val="004C98"/>
      </a:accent1>
      <a:accent2>
        <a:srgbClr val="00822D"/>
      </a:accent2>
      <a:accent3>
        <a:srgbClr val="CB1815"/>
      </a:accent3>
      <a:accent4>
        <a:srgbClr val="FB8B00"/>
      </a:accent4>
      <a:accent5>
        <a:srgbClr val="424A52"/>
      </a:accent5>
      <a:accent6>
        <a:srgbClr val="D8D090"/>
      </a:accent6>
      <a:hlink>
        <a:srgbClr val="004C98"/>
      </a:hlink>
      <a:folHlink>
        <a:srgbClr val="800080"/>
      </a:folHlink>
    </a:clrScheme>
    <a:fontScheme name="Mukautettu 2">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9BA3397795A2F48867FF3F64B0035A7" ma:contentTypeVersion="" ma:contentTypeDescription="Luo uusi asiakirja." ma:contentTypeScope="" ma:versionID="c026d3cf427cca8b39cb8b858235ca10">
  <xsd:schema xmlns:xsd="http://www.w3.org/2001/XMLSchema" xmlns:xs="http://www.w3.org/2001/XMLSchema" xmlns:p="http://schemas.microsoft.com/office/2006/metadata/properties" targetNamespace="http://schemas.microsoft.com/office/2006/metadata/properties" ma:root="true" ma:fieldsID="dc5d0c2c2ee298487bfc6598426cc57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015E-D246-4F67-97D8-4EE896172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7BE623-101D-4DD4-AE6C-1B119AD5C7A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purl.org/dc/elements/1.1/"/>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74D70950-9838-46F9-B6A5-789ED7B5702F}">
  <ds:schemaRefs>
    <ds:schemaRef ds:uri="http://schemas.microsoft.com/sharepoint/v3/contenttype/forms"/>
  </ds:schemaRefs>
</ds:datastoreItem>
</file>

<file path=customXml/itemProps4.xml><?xml version="1.0" encoding="utf-8"?>
<ds:datastoreItem xmlns:ds="http://schemas.openxmlformats.org/officeDocument/2006/customXml" ds:itemID="{4E622C8A-4321-41D5-8594-1A0673F28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7543</Words>
  <Characters>61101</Characters>
  <Application>Microsoft Office Word</Application>
  <DocSecurity>4</DocSecurity>
  <Lines>509</Lines>
  <Paragraphs>137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Säteilyturvakeskus</Company>
  <LinksUpToDate>false</LinksUpToDate>
  <CharactersWithSpaces>68507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 Haataja</dc:creator>
  <cp:lastModifiedBy>Häkkinen Mariel STM</cp:lastModifiedBy>
  <cp:revision>2</cp:revision>
  <cp:lastPrinted>2017-07-14T06:28:00Z</cp:lastPrinted>
  <dcterms:created xsi:type="dcterms:W3CDTF">2017-07-26T11:19:00Z</dcterms:created>
  <dcterms:modified xsi:type="dcterms:W3CDTF">2017-07-26T11:19:00Z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0x01010099BA3397795A2F48867FF3F64B0035A7</vt:lpwstr>
  </property>
</Properties>
</file>