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F0" w:rsidRDefault="002E73D5" w:rsidP="00372EF0">
      <w:pPr>
        <w:pStyle w:val="Leipteksti"/>
        <w:jc w:val="center"/>
        <w:rPr>
          <w:b/>
          <w:sz w:val="28"/>
        </w:rPr>
      </w:pPr>
      <w:r>
        <w:rPr>
          <w:b/>
          <w:sz w:val="28"/>
        </w:rPr>
        <w:t xml:space="preserve">Lomake </w:t>
      </w:r>
      <w:r w:rsidR="00814E65">
        <w:rPr>
          <w:b/>
          <w:sz w:val="28"/>
        </w:rPr>
        <w:t>uuden säteilylain hallituksen esityksen</w:t>
      </w:r>
      <w:r w:rsidR="00FC2113">
        <w:rPr>
          <w:b/>
          <w:sz w:val="28"/>
        </w:rPr>
        <w:t xml:space="preserve"> </w:t>
      </w:r>
      <w:r>
        <w:rPr>
          <w:b/>
          <w:sz w:val="28"/>
        </w:rPr>
        <w:t>kommentointia varten</w:t>
      </w:r>
    </w:p>
    <w:p w:rsidR="0082161C" w:rsidRDefault="0082161C" w:rsidP="0082161C">
      <w:pPr>
        <w:rPr>
          <w:b/>
          <w:lang w:val="fi-FI"/>
        </w:rPr>
      </w:pPr>
    </w:p>
    <w:p w:rsidR="0082161C" w:rsidRPr="00B961D9" w:rsidRDefault="0082161C" w:rsidP="0082161C">
      <w:pPr>
        <w:rPr>
          <w:b/>
          <w:lang w:val="fi-FI"/>
        </w:rPr>
      </w:pPr>
    </w:p>
    <w:tbl>
      <w:tblPr>
        <w:tblW w:w="14884"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44"/>
        <w:gridCol w:w="1308"/>
        <w:gridCol w:w="6521"/>
        <w:gridCol w:w="5811"/>
      </w:tblGrid>
      <w:tr w:rsidR="000D5632" w:rsidRPr="00AB72DE" w:rsidTr="000D5632">
        <w:tc>
          <w:tcPr>
            <w:tcW w:w="14884" w:type="dxa"/>
            <w:gridSpan w:val="4"/>
            <w:tcBorders>
              <w:bottom w:val="single" w:sz="12" w:space="0" w:color="000000"/>
            </w:tcBorders>
          </w:tcPr>
          <w:p w:rsidR="000D5632" w:rsidRDefault="000D5632">
            <w:pPr>
              <w:rPr>
                <w:b/>
                <w:lang w:val="fi-FI"/>
              </w:rPr>
            </w:pPr>
          </w:p>
          <w:p w:rsidR="000D5632" w:rsidRDefault="000D5632">
            <w:pPr>
              <w:rPr>
                <w:b/>
                <w:lang w:val="fi-FI"/>
              </w:rPr>
            </w:pPr>
            <w:proofErr w:type="gramStart"/>
            <w:r w:rsidRPr="000134E4">
              <w:rPr>
                <w:b/>
                <w:lang w:val="fi-FI"/>
              </w:rPr>
              <w:t xml:space="preserve">Kommentoija:   </w:t>
            </w:r>
            <w:proofErr w:type="gramEnd"/>
            <w:r w:rsidRPr="000134E4">
              <w:rPr>
                <w:b/>
                <w:lang w:val="fi-FI"/>
              </w:rPr>
              <w:t xml:space="preserve">  </w:t>
            </w:r>
            <w:r w:rsidR="00AB72DE">
              <w:rPr>
                <w:b/>
                <w:lang w:val="fi-FI"/>
              </w:rPr>
              <w:t>Tietosuojavaltuutettu</w:t>
            </w:r>
            <w:r w:rsidRPr="000134E4">
              <w:rPr>
                <w:b/>
                <w:lang w:val="fi-FI"/>
              </w:rPr>
              <w:t xml:space="preserve">                                                                             pvm:</w:t>
            </w:r>
            <w:r w:rsidR="00AB72DE">
              <w:rPr>
                <w:b/>
                <w:lang w:val="fi-FI"/>
              </w:rPr>
              <w:t xml:space="preserve"> 13.1.2017</w:t>
            </w:r>
          </w:p>
          <w:p w:rsidR="000D5632" w:rsidRPr="000134E4" w:rsidRDefault="000D5632">
            <w:pPr>
              <w:rPr>
                <w:b/>
                <w:lang w:val="fi-FI"/>
              </w:rPr>
            </w:pPr>
          </w:p>
          <w:p w:rsidR="000D5632" w:rsidRPr="002E73D5" w:rsidRDefault="000D5632" w:rsidP="002E73D5">
            <w:pPr>
              <w:rPr>
                <w:lang w:val="fi-FI"/>
              </w:rPr>
            </w:pPr>
            <w:proofErr w:type="gramStart"/>
            <w:r w:rsidRPr="000134E4">
              <w:rPr>
                <w:b/>
                <w:lang w:val="fi-FI"/>
              </w:rPr>
              <w:t xml:space="preserve">Organisaatio:   </w:t>
            </w:r>
            <w:proofErr w:type="gramEnd"/>
            <w:r w:rsidRPr="000134E4">
              <w:rPr>
                <w:b/>
                <w:lang w:val="fi-FI"/>
              </w:rPr>
              <w:t xml:space="preserve">                          </w:t>
            </w:r>
            <w:r w:rsidR="00AB72DE">
              <w:rPr>
                <w:b/>
                <w:lang w:val="fi-FI"/>
              </w:rPr>
              <w:t>Tietosuojavaltuutetun toimisto</w:t>
            </w:r>
            <w:r w:rsidRPr="000134E4">
              <w:rPr>
                <w:b/>
                <w:lang w:val="fi-FI"/>
              </w:rPr>
              <w:t xml:space="preserve">                                                       </w:t>
            </w:r>
          </w:p>
        </w:tc>
      </w:tr>
      <w:tr w:rsidR="000D5632" w:rsidTr="000D5632">
        <w:tblPrEx>
          <w:tblCellMar>
            <w:left w:w="107" w:type="dxa"/>
            <w:right w:w="107" w:type="dxa"/>
          </w:tblCellMar>
        </w:tblPrEx>
        <w:tc>
          <w:tcPr>
            <w:tcW w:w="1244" w:type="dxa"/>
            <w:tcBorders>
              <w:top w:val="nil"/>
              <w:bottom w:val="single" w:sz="4" w:space="0" w:color="auto"/>
            </w:tcBorders>
          </w:tcPr>
          <w:p w:rsidR="000D5632" w:rsidRPr="000134E4" w:rsidRDefault="000D5632">
            <w:pPr>
              <w:jc w:val="center"/>
              <w:rPr>
                <w:b/>
                <w:sz w:val="20"/>
                <w:lang w:val="fi-FI"/>
              </w:rPr>
            </w:pPr>
            <w:r w:rsidRPr="000134E4">
              <w:rPr>
                <w:b/>
                <w:sz w:val="20"/>
                <w:lang w:val="fi-FI"/>
              </w:rPr>
              <w:t>Kommentin numero</w:t>
            </w:r>
          </w:p>
        </w:tc>
        <w:tc>
          <w:tcPr>
            <w:tcW w:w="1308" w:type="dxa"/>
            <w:tcBorders>
              <w:top w:val="nil"/>
              <w:bottom w:val="single" w:sz="4" w:space="0" w:color="auto"/>
            </w:tcBorders>
          </w:tcPr>
          <w:p w:rsidR="000D5632" w:rsidRDefault="000D5632" w:rsidP="00EF645A">
            <w:pPr>
              <w:jc w:val="center"/>
              <w:rPr>
                <w:b/>
                <w:sz w:val="20"/>
                <w:lang w:val="fi-FI"/>
              </w:rPr>
            </w:pPr>
            <w:r>
              <w:rPr>
                <w:b/>
                <w:sz w:val="20"/>
                <w:lang w:val="fi-FI"/>
              </w:rPr>
              <w:t>Luku,</w:t>
            </w:r>
          </w:p>
          <w:p w:rsidR="000D5632" w:rsidRPr="000134E4" w:rsidRDefault="0008187B" w:rsidP="0070535E">
            <w:pPr>
              <w:jc w:val="center"/>
              <w:rPr>
                <w:b/>
                <w:sz w:val="20"/>
                <w:lang w:val="fi-FI"/>
              </w:rPr>
            </w:pPr>
            <w:r>
              <w:rPr>
                <w:b/>
                <w:sz w:val="20"/>
                <w:lang w:val="fi-FI"/>
              </w:rPr>
              <w:t>sivun nro</w:t>
            </w:r>
            <w:r w:rsidR="0070535E">
              <w:rPr>
                <w:b/>
                <w:sz w:val="20"/>
                <w:lang w:val="fi-FI"/>
              </w:rPr>
              <w:t>/§</w:t>
            </w:r>
          </w:p>
        </w:tc>
        <w:tc>
          <w:tcPr>
            <w:tcW w:w="6521" w:type="dxa"/>
            <w:tcBorders>
              <w:top w:val="nil"/>
              <w:bottom w:val="single" w:sz="4" w:space="0" w:color="auto"/>
            </w:tcBorders>
          </w:tcPr>
          <w:p w:rsidR="000D5632" w:rsidRDefault="000D5632" w:rsidP="00EF645A">
            <w:pPr>
              <w:jc w:val="center"/>
              <w:rPr>
                <w:b/>
                <w:sz w:val="20"/>
                <w:lang w:val="fi-FI"/>
              </w:rPr>
            </w:pPr>
            <w:r>
              <w:rPr>
                <w:b/>
                <w:sz w:val="20"/>
                <w:lang w:val="fi-FI"/>
              </w:rPr>
              <w:t>Yleinen kommentti/</w:t>
            </w:r>
          </w:p>
          <w:p w:rsidR="000D5632" w:rsidRDefault="000D5632">
            <w:pPr>
              <w:jc w:val="center"/>
              <w:rPr>
                <w:b/>
                <w:sz w:val="20"/>
                <w:lang w:val="fi-FI"/>
              </w:rPr>
            </w:pPr>
            <w:r w:rsidRPr="000134E4">
              <w:rPr>
                <w:b/>
                <w:sz w:val="20"/>
                <w:lang w:val="fi-FI"/>
              </w:rPr>
              <w:t>Ehdotus uudeksi tekstiksi</w:t>
            </w:r>
            <w:r>
              <w:rPr>
                <w:b/>
                <w:sz w:val="20"/>
                <w:lang w:val="fi-FI"/>
              </w:rPr>
              <w:t>/</w:t>
            </w:r>
          </w:p>
          <w:p w:rsidR="000D5632" w:rsidRPr="000134E4" w:rsidRDefault="000D5632">
            <w:pPr>
              <w:jc w:val="center"/>
              <w:rPr>
                <w:b/>
                <w:sz w:val="20"/>
                <w:lang w:val="fi-FI"/>
              </w:rPr>
            </w:pPr>
            <w:r>
              <w:rPr>
                <w:b/>
                <w:sz w:val="20"/>
                <w:lang w:val="fi-FI"/>
              </w:rPr>
              <w:t>Yksittäinen korjaus</w:t>
            </w:r>
          </w:p>
        </w:tc>
        <w:tc>
          <w:tcPr>
            <w:tcW w:w="5811" w:type="dxa"/>
            <w:tcBorders>
              <w:top w:val="nil"/>
              <w:bottom w:val="single" w:sz="4" w:space="0" w:color="auto"/>
            </w:tcBorders>
          </w:tcPr>
          <w:p w:rsidR="000D5632" w:rsidRPr="000134E4" w:rsidRDefault="000D5632">
            <w:pPr>
              <w:jc w:val="center"/>
              <w:rPr>
                <w:b/>
                <w:sz w:val="20"/>
                <w:lang w:val="fi-FI"/>
              </w:rPr>
            </w:pPr>
            <w:r w:rsidRPr="000134E4">
              <w:rPr>
                <w:b/>
                <w:sz w:val="20"/>
                <w:lang w:val="fi-FI"/>
              </w:rPr>
              <w:t>Perustelut</w:t>
            </w:r>
          </w:p>
        </w:tc>
      </w:tr>
      <w:tr w:rsidR="00AB72DE" w:rsidRPr="00AB72DE" w:rsidTr="000D5632">
        <w:tblPrEx>
          <w:tblCellMar>
            <w:left w:w="107" w:type="dxa"/>
            <w:right w:w="107" w:type="dxa"/>
          </w:tblCellMar>
        </w:tblPrEx>
        <w:tc>
          <w:tcPr>
            <w:tcW w:w="1244" w:type="dxa"/>
            <w:tcBorders>
              <w:top w:val="nil"/>
              <w:bottom w:val="single" w:sz="4" w:space="0" w:color="auto"/>
            </w:tcBorders>
          </w:tcPr>
          <w:p w:rsidR="00AB72DE" w:rsidRPr="000134E4" w:rsidRDefault="00AB72DE">
            <w:pPr>
              <w:jc w:val="center"/>
              <w:rPr>
                <w:b/>
                <w:sz w:val="20"/>
                <w:lang w:val="fi-FI"/>
              </w:rPr>
            </w:pPr>
          </w:p>
        </w:tc>
        <w:tc>
          <w:tcPr>
            <w:tcW w:w="1308" w:type="dxa"/>
            <w:tcBorders>
              <w:top w:val="nil"/>
              <w:bottom w:val="single" w:sz="4" w:space="0" w:color="auto"/>
            </w:tcBorders>
          </w:tcPr>
          <w:p w:rsidR="00AB72DE" w:rsidRPr="00A26F43" w:rsidRDefault="00AB72DE" w:rsidP="00EF645A">
            <w:pPr>
              <w:jc w:val="center"/>
              <w:rPr>
                <w:sz w:val="20"/>
                <w:lang w:val="fi-FI"/>
              </w:rPr>
            </w:pPr>
            <w:r w:rsidRPr="00A26F43">
              <w:rPr>
                <w:sz w:val="20"/>
                <w:lang w:val="fi-FI"/>
              </w:rPr>
              <w:t>4 §</w:t>
            </w:r>
          </w:p>
        </w:tc>
        <w:tc>
          <w:tcPr>
            <w:tcW w:w="6521" w:type="dxa"/>
            <w:tcBorders>
              <w:top w:val="nil"/>
              <w:bottom w:val="single" w:sz="4" w:space="0" w:color="auto"/>
            </w:tcBorders>
          </w:tcPr>
          <w:p w:rsidR="00AB72DE" w:rsidRPr="00A26F43" w:rsidRDefault="00AB72DE" w:rsidP="00ED430D">
            <w:pPr>
              <w:jc w:val="center"/>
              <w:rPr>
                <w:szCs w:val="24"/>
                <w:lang w:val="fi-FI"/>
              </w:rPr>
            </w:pPr>
            <w:r w:rsidRPr="00A26F43">
              <w:rPr>
                <w:szCs w:val="24"/>
                <w:lang w:val="fi-FI"/>
              </w:rPr>
              <w:t>Tulisiko 4 §:ssä mainita myös he</w:t>
            </w:r>
            <w:r w:rsidR="00A26F43">
              <w:rPr>
                <w:szCs w:val="24"/>
                <w:lang w:val="fi-FI"/>
              </w:rPr>
              <w:t>nkilötietolaki (523/1999) sekä</w:t>
            </w:r>
            <w:r w:rsidR="00A26F43" w:rsidRPr="00A26F43">
              <w:rPr>
                <w:szCs w:val="24"/>
                <w:lang w:val="fi-FI"/>
              </w:rPr>
              <w:t xml:space="preserve"> </w:t>
            </w:r>
            <w:r w:rsidR="00A26F43" w:rsidRPr="00A26F43">
              <w:rPr>
                <w:szCs w:val="24"/>
                <w:lang w:val="fi-FI"/>
              </w:rPr>
              <w:t xml:space="preserve">laki viranomaisen </w:t>
            </w:r>
            <w:r w:rsidR="00A26F43">
              <w:rPr>
                <w:szCs w:val="24"/>
                <w:lang w:val="fi-FI"/>
              </w:rPr>
              <w:t>toiminnan julkisuudesta</w:t>
            </w:r>
            <w:r w:rsidRPr="00A26F43">
              <w:rPr>
                <w:szCs w:val="24"/>
                <w:lang w:val="fi-FI"/>
              </w:rPr>
              <w:t xml:space="preserve"> (621/1999)?</w:t>
            </w:r>
          </w:p>
        </w:tc>
        <w:tc>
          <w:tcPr>
            <w:tcW w:w="5811" w:type="dxa"/>
            <w:tcBorders>
              <w:top w:val="nil"/>
              <w:bottom w:val="single" w:sz="4" w:space="0" w:color="auto"/>
            </w:tcBorders>
          </w:tcPr>
          <w:p w:rsidR="00AB72DE" w:rsidRPr="00A26F43" w:rsidRDefault="00A26F43" w:rsidP="00A26F43">
            <w:pPr>
              <w:jc w:val="center"/>
              <w:rPr>
                <w:szCs w:val="24"/>
                <w:lang w:val="fi-FI"/>
              </w:rPr>
            </w:pPr>
            <w:r w:rsidRPr="00A26F43">
              <w:rPr>
                <w:szCs w:val="24"/>
                <w:lang w:val="fi-FI"/>
              </w:rPr>
              <w:t>Säteilylaki sisältää useita säännöksiä, jotka koskevat henkilötietojen käsittelyä sekä henkilötietojen luovuttamista viranomaisrekistereistä. Näissä yhteyksissä sä</w:t>
            </w:r>
            <w:r>
              <w:rPr>
                <w:szCs w:val="24"/>
                <w:lang w:val="fi-FI"/>
              </w:rPr>
              <w:t>teily</w:t>
            </w:r>
            <w:r w:rsidRPr="00A26F43">
              <w:rPr>
                <w:szCs w:val="24"/>
                <w:lang w:val="fi-FI"/>
              </w:rPr>
              <w:t>lain ohella on huomioitava edellä mainitut yleislait.</w:t>
            </w:r>
          </w:p>
        </w:tc>
      </w:tr>
      <w:tr w:rsidR="00A26F43" w:rsidRPr="00AB72DE" w:rsidTr="000D5632">
        <w:tblPrEx>
          <w:tblCellMar>
            <w:left w:w="107" w:type="dxa"/>
            <w:right w:w="107" w:type="dxa"/>
          </w:tblCellMar>
        </w:tblPrEx>
        <w:tc>
          <w:tcPr>
            <w:tcW w:w="1244" w:type="dxa"/>
            <w:tcBorders>
              <w:top w:val="nil"/>
              <w:bottom w:val="single" w:sz="4" w:space="0" w:color="auto"/>
            </w:tcBorders>
          </w:tcPr>
          <w:p w:rsidR="00A26F43" w:rsidRPr="000134E4" w:rsidRDefault="00A26F43">
            <w:pPr>
              <w:jc w:val="center"/>
              <w:rPr>
                <w:b/>
                <w:sz w:val="20"/>
                <w:lang w:val="fi-FI"/>
              </w:rPr>
            </w:pPr>
          </w:p>
        </w:tc>
        <w:tc>
          <w:tcPr>
            <w:tcW w:w="1308" w:type="dxa"/>
            <w:tcBorders>
              <w:top w:val="nil"/>
              <w:bottom w:val="single" w:sz="4" w:space="0" w:color="auto"/>
            </w:tcBorders>
          </w:tcPr>
          <w:p w:rsidR="00A26F43" w:rsidRPr="00A26F43" w:rsidRDefault="00A26F43" w:rsidP="00EF645A">
            <w:pPr>
              <w:jc w:val="center"/>
              <w:rPr>
                <w:sz w:val="20"/>
                <w:lang w:val="fi-FI"/>
              </w:rPr>
            </w:pPr>
            <w:r>
              <w:rPr>
                <w:sz w:val="20"/>
                <w:lang w:val="fi-FI"/>
              </w:rPr>
              <w:t>20 §</w:t>
            </w:r>
          </w:p>
        </w:tc>
        <w:tc>
          <w:tcPr>
            <w:tcW w:w="6521" w:type="dxa"/>
            <w:tcBorders>
              <w:top w:val="nil"/>
              <w:bottom w:val="single" w:sz="4" w:space="0" w:color="auto"/>
            </w:tcBorders>
          </w:tcPr>
          <w:p w:rsidR="00A26F43" w:rsidRPr="00A26F43" w:rsidRDefault="00A26F43" w:rsidP="00A26F43">
            <w:pPr>
              <w:jc w:val="center"/>
              <w:rPr>
                <w:szCs w:val="24"/>
                <w:lang w:val="fi-FI"/>
              </w:rPr>
            </w:pPr>
            <w:r>
              <w:rPr>
                <w:szCs w:val="24"/>
                <w:lang w:val="fi-FI"/>
              </w:rPr>
              <w:t>Annosrekisterin käyttötarkoituksesta tulee säätää selkeästi</w:t>
            </w:r>
          </w:p>
        </w:tc>
        <w:tc>
          <w:tcPr>
            <w:tcW w:w="5811" w:type="dxa"/>
            <w:tcBorders>
              <w:top w:val="nil"/>
              <w:bottom w:val="single" w:sz="4" w:space="0" w:color="auto"/>
            </w:tcBorders>
          </w:tcPr>
          <w:p w:rsidR="00A26F43" w:rsidRPr="00A26F43" w:rsidRDefault="00A26F43" w:rsidP="005553BA">
            <w:pPr>
              <w:jc w:val="center"/>
              <w:rPr>
                <w:szCs w:val="24"/>
                <w:lang w:val="fi-FI"/>
              </w:rPr>
            </w:pPr>
            <w:r>
              <w:rPr>
                <w:szCs w:val="24"/>
                <w:lang w:val="fi-FI"/>
              </w:rPr>
              <w:t>Perustuslakivaliokunta edellyttää, että rekisteröinnin tavoite sekä tietojen sallitut käyttötarkoituksista tulisi säätää laintasolla</w:t>
            </w:r>
            <w:r w:rsidR="005553BA">
              <w:rPr>
                <w:szCs w:val="24"/>
                <w:lang w:val="fi-FI"/>
              </w:rPr>
              <w:t>.</w:t>
            </w:r>
            <w:r w:rsidRPr="00A26F43">
              <w:rPr>
                <w:rStyle w:val="Korostus"/>
                <w:lang w:val="fi-FI"/>
              </w:rPr>
              <w:t xml:space="preserve"> </w:t>
            </w:r>
            <w:r w:rsidRPr="00A26F43">
              <w:rPr>
                <w:rStyle w:val="Korostus"/>
                <w:i w:val="0"/>
                <w:lang w:val="fi-FI"/>
              </w:rPr>
              <w:t>On todettava, ettei</w:t>
            </w:r>
            <w:r>
              <w:rPr>
                <w:rStyle w:val="Korostus"/>
                <w:i w:val="0"/>
                <w:lang w:val="fi-FI"/>
              </w:rPr>
              <w:t xml:space="preserve"> a</w:t>
            </w:r>
            <w:r w:rsidRPr="00A26F43">
              <w:rPr>
                <w:lang w:val="fi-FI"/>
              </w:rPr>
              <w:t>nnosrekisterin</w:t>
            </w:r>
            <w:r w:rsidR="00ED430D">
              <w:rPr>
                <w:lang w:val="fi-FI"/>
              </w:rPr>
              <w:t xml:space="preserve"> käyttötarkoitus </w:t>
            </w:r>
            <w:r w:rsidRPr="00A26F43">
              <w:rPr>
                <w:lang w:val="fi-FI"/>
              </w:rPr>
              <w:t>käy selkeästi ilmi 4 luvun säännöksistä.</w:t>
            </w:r>
            <w:r>
              <w:rPr>
                <w:lang w:val="fi-FI"/>
              </w:rPr>
              <w:t xml:space="preserve"> </w:t>
            </w:r>
            <w:r>
              <w:rPr>
                <w:szCs w:val="24"/>
                <w:lang w:val="fi-FI"/>
              </w:rPr>
              <w:t>Käyttötarkoitusta varten peilataan myös tietojen säilytysaikaa.</w:t>
            </w:r>
          </w:p>
        </w:tc>
      </w:tr>
      <w:tr w:rsidR="00A26F43" w:rsidRPr="00AB72DE" w:rsidTr="000D5632">
        <w:tblPrEx>
          <w:tblCellMar>
            <w:left w:w="107" w:type="dxa"/>
            <w:right w:w="107" w:type="dxa"/>
          </w:tblCellMar>
        </w:tblPrEx>
        <w:tc>
          <w:tcPr>
            <w:tcW w:w="1244" w:type="dxa"/>
            <w:tcBorders>
              <w:top w:val="nil"/>
              <w:bottom w:val="single" w:sz="4" w:space="0" w:color="auto"/>
            </w:tcBorders>
          </w:tcPr>
          <w:p w:rsidR="00A26F43" w:rsidRPr="000134E4" w:rsidRDefault="00A26F43">
            <w:pPr>
              <w:jc w:val="center"/>
              <w:rPr>
                <w:b/>
                <w:sz w:val="20"/>
                <w:lang w:val="fi-FI"/>
              </w:rPr>
            </w:pPr>
          </w:p>
        </w:tc>
        <w:tc>
          <w:tcPr>
            <w:tcW w:w="1308" w:type="dxa"/>
            <w:tcBorders>
              <w:top w:val="nil"/>
              <w:bottom w:val="single" w:sz="4" w:space="0" w:color="auto"/>
            </w:tcBorders>
          </w:tcPr>
          <w:p w:rsidR="00A26F43" w:rsidRDefault="00A26F43" w:rsidP="00EF645A">
            <w:pPr>
              <w:jc w:val="center"/>
              <w:rPr>
                <w:sz w:val="20"/>
                <w:lang w:val="fi-FI"/>
              </w:rPr>
            </w:pPr>
            <w:r>
              <w:rPr>
                <w:sz w:val="20"/>
                <w:lang w:val="fi-FI"/>
              </w:rPr>
              <w:t>20 §:n 3 mom.</w:t>
            </w:r>
          </w:p>
        </w:tc>
        <w:tc>
          <w:tcPr>
            <w:tcW w:w="6521" w:type="dxa"/>
            <w:tcBorders>
              <w:top w:val="nil"/>
              <w:bottom w:val="single" w:sz="4" w:space="0" w:color="auto"/>
            </w:tcBorders>
          </w:tcPr>
          <w:p w:rsidR="00A26F43" w:rsidRDefault="00CA0C7A" w:rsidP="00A26F43">
            <w:pPr>
              <w:jc w:val="center"/>
              <w:rPr>
                <w:szCs w:val="24"/>
                <w:lang w:val="fi-FI"/>
              </w:rPr>
            </w:pPr>
            <w:r>
              <w:rPr>
                <w:szCs w:val="24"/>
                <w:lang w:val="fi-FI"/>
              </w:rPr>
              <w:t>Säilytysaikoja määrittää rekisterin käyttötarkoitus</w:t>
            </w:r>
          </w:p>
        </w:tc>
        <w:tc>
          <w:tcPr>
            <w:tcW w:w="5811" w:type="dxa"/>
            <w:tcBorders>
              <w:top w:val="nil"/>
              <w:bottom w:val="single" w:sz="4" w:space="0" w:color="auto"/>
            </w:tcBorders>
          </w:tcPr>
          <w:p w:rsidR="00A26F43" w:rsidRPr="00A26F43" w:rsidRDefault="00A26F43" w:rsidP="00A26F43">
            <w:pPr>
              <w:rPr>
                <w:lang w:val="fi-FI"/>
              </w:rPr>
            </w:pPr>
            <w:r w:rsidRPr="00A26F43">
              <w:rPr>
                <w:lang w:val="fi-FI"/>
              </w:rPr>
              <w:t>Lausunnon kohteena olevan lain 20 §:n 3 momentissa säädetään siitä, että minkä aikaa tietoja säilytetään annosrekisterissä. Henkilötietolainsäädäntö lähtee siitä, että henkilötietoja voidaan käsitellä niin kauan, kuin se on henkilötietojen käsittelyn tarkoituksen kannalta tarpeellisia (Henkilötietolain 9 §</w:t>
            </w:r>
            <w:r w:rsidR="005553BA">
              <w:rPr>
                <w:lang w:val="fi-FI"/>
              </w:rPr>
              <w:t xml:space="preserve"> </w:t>
            </w:r>
            <w:r w:rsidRPr="00A26F43">
              <w:rPr>
                <w:i/>
                <w:lang w:val="fi-FI"/>
              </w:rPr>
              <w:t>”</w:t>
            </w:r>
            <w:r w:rsidRPr="00A26F43">
              <w:rPr>
                <w:rStyle w:val="Korostus"/>
                <w:lang w:val="fi-FI"/>
              </w:rPr>
              <w:t>tarpeellisuusvaatimus</w:t>
            </w:r>
            <w:r>
              <w:rPr>
                <w:rStyle w:val="Korostus"/>
                <w:lang w:val="fi-FI"/>
              </w:rPr>
              <w:t>”).</w:t>
            </w:r>
            <w:r w:rsidRPr="00A26F43">
              <w:rPr>
                <w:lang w:val="fi-FI"/>
              </w:rPr>
              <w:t xml:space="preserve"> Ehdotetuille säilytysajoille ei sinänsä ole estettä, kunhan säädetty säilytysaika pystytään perustelemaan rekisterin käyttötarkoituksen kannalta. </w:t>
            </w:r>
          </w:p>
          <w:p w:rsidR="00A26F43" w:rsidRDefault="00A26F43" w:rsidP="00A26F43">
            <w:pPr>
              <w:jc w:val="center"/>
              <w:rPr>
                <w:szCs w:val="24"/>
                <w:lang w:val="fi-FI"/>
              </w:rPr>
            </w:pPr>
          </w:p>
        </w:tc>
      </w:tr>
      <w:tr w:rsidR="00CA0C7A" w:rsidRPr="00AB72DE" w:rsidTr="000D5632">
        <w:tblPrEx>
          <w:tblCellMar>
            <w:left w:w="107" w:type="dxa"/>
            <w:right w:w="107" w:type="dxa"/>
          </w:tblCellMar>
        </w:tblPrEx>
        <w:tc>
          <w:tcPr>
            <w:tcW w:w="1244" w:type="dxa"/>
            <w:tcBorders>
              <w:top w:val="nil"/>
              <w:bottom w:val="single" w:sz="4" w:space="0" w:color="auto"/>
            </w:tcBorders>
          </w:tcPr>
          <w:p w:rsidR="00CA0C7A" w:rsidRPr="000134E4" w:rsidRDefault="00CA0C7A">
            <w:pPr>
              <w:jc w:val="center"/>
              <w:rPr>
                <w:b/>
                <w:sz w:val="20"/>
                <w:lang w:val="fi-FI"/>
              </w:rPr>
            </w:pPr>
          </w:p>
        </w:tc>
        <w:tc>
          <w:tcPr>
            <w:tcW w:w="1308" w:type="dxa"/>
            <w:tcBorders>
              <w:top w:val="nil"/>
              <w:bottom w:val="single" w:sz="4" w:space="0" w:color="auto"/>
            </w:tcBorders>
          </w:tcPr>
          <w:p w:rsidR="00CA0C7A" w:rsidRDefault="00CA0C7A" w:rsidP="00EF645A">
            <w:pPr>
              <w:jc w:val="center"/>
              <w:rPr>
                <w:sz w:val="20"/>
                <w:lang w:val="fi-FI"/>
              </w:rPr>
            </w:pPr>
            <w:r>
              <w:rPr>
                <w:sz w:val="20"/>
                <w:lang w:val="fi-FI"/>
              </w:rPr>
              <w:t xml:space="preserve">20 §:n 3 </w:t>
            </w:r>
            <w:proofErr w:type="spellStart"/>
            <w:r>
              <w:rPr>
                <w:sz w:val="20"/>
                <w:lang w:val="fi-FI"/>
              </w:rPr>
              <w:t>mom</w:t>
            </w:r>
            <w:proofErr w:type="spellEnd"/>
          </w:p>
        </w:tc>
        <w:tc>
          <w:tcPr>
            <w:tcW w:w="6521" w:type="dxa"/>
            <w:tcBorders>
              <w:top w:val="nil"/>
              <w:bottom w:val="single" w:sz="4" w:space="0" w:color="auto"/>
            </w:tcBorders>
          </w:tcPr>
          <w:p w:rsidR="00CA0C7A" w:rsidRDefault="00CA0C7A" w:rsidP="00A26F43">
            <w:pPr>
              <w:jc w:val="center"/>
              <w:rPr>
                <w:szCs w:val="24"/>
                <w:lang w:val="fi-FI"/>
              </w:rPr>
            </w:pPr>
            <w:r>
              <w:rPr>
                <w:szCs w:val="24"/>
                <w:lang w:val="fi-FI"/>
              </w:rPr>
              <w:t>Onko tutkimustarkoitus yksi annosrekisterin käyttötarkoituksista?</w:t>
            </w:r>
          </w:p>
        </w:tc>
        <w:tc>
          <w:tcPr>
            <w:tcW w:w="5811" w:type="dxa"/>
            <w:tcBorders>
              <w:top w:val="nil"/>
              <w:bottom w:val="single" w:sz="4" w:space="0" w:color="auto"/>
            </w:tcBorders>
          </w:tcPr>
          <w:p w:rsidR="00CA0C7A" w:rsidRPr="00A26F43" w:rsidRDefault="00CA0C7A" w:rsidP="00A26F43">
            <w:pPr>
              <w:rPr>
                <w:lang w:val="fi-FI"/>
              </w:rPr>
            </w:pPr>
            <w:r>
              <w:rPr>
                <w:lang w:val="fi-FI"/>
              </w:rPr>
              <w:t>Käsitykseni mukaan annosrekisterin ensisijainen tarkoitus on varmistaa säteilytyössä työskentelevien henkilöiden terveyttä ja turvallisuutta</w:t>
            </w:r>
            <w:r w:rsidR="00ED430D">
              <w:rPr>
                <w:lang w:val="fi-FI"/>
              </w:rPr>
              <w:t>, eikä niinkään toimia tutkimusrekisterinä</w:t>
            </w:r>
            <w:r>
              <w:rPr>
                <w:lang w:val="fi-FI"/>
              </w:rPr>
              <w:t>. Onko tällaisen tutkimuksen tekeminen Säteilyturvakeskuksen lakisääteinen tehtävä? Y</w:t>
            </w:r>
            <w:r w:rsidRPr="00A77A31">
              <w:rPr>
                <w:szCs w:val="24"/>
                <w:lang w:val="fi-FI"/>
              </w:rPr>
              <w:t xml:space="preserve">mmärrettävää on, että kyseisten tietojen </w:t>
            </w:r>
            <w:r w:rsidRPr="00A77A31">
              <w:rPr>
                <w:szCs w:val="24"/>
                <w:lang w:val="fi-FI"/>
              </w:rPr>
              <w:lastRenderedPageBreak/>
              <w:t>tutkimusk</w:t>
            </w:r>
            <w:r w:rsidR="00ED430D" w:rsidRPr="00A77A31">
              <w:rPr>
                <w:szCs w:val="24"/>
                <w:lang w:val="fi-FI"/>
              </w:rPr>
              <w:t>äyttöön on suuri intressi niin Säteilyturvakeskuksella</w:t>
            </w:r>
            <w:r w:rsidRPr="00A77A31">
              <w:rPr>
                <w:szCs w:val="24"/>
                <w:lang w:val="fi-FI"/>
              </w:rPr>
              <w:t>, kuin mahdollisesti ulkopuolisillakin tahoilla. Henkilötietojen käsitt</w:t>
            </w:r>
            <w:r w:rsidR="00ED430D" w:rsidRPr="00A77A31">
              <w:rPr>
                <w:szCs w:val="24"/>
                <w:lang w:val="fi-FI"/>
              </w:rPr>
              <w:t>elystä tutkimuskäyttöön säädetää</w:t>
            </w:r>
            <w:r w:rsidRPr="00A77A31">
              <w:rPr>
                <w:szCs w:val="24"/>
                <w:lang w:val="fi-FI"/>
              </w:rPr>
              <w:t>n kuitenkin jo muun muassa henkilötietolain</w:t>
            </w:r>
            <w:r w:rsidR="00ED430D" w:rsidRPr="00A77A31">
              <w:rPr>
                <w:szCs w:val="24"/>
                <w:lang w:val="fi-FI"/>
              </w:rPr>
              <w:t xml:space="preserve"> 7 §:ssä </w:t>
            </w:r>
            <w:proofErr w:type="gramStart"/>
            <w:r w:rsidR="00ED430D" w:rsidRPr="00A77A31">
              <w:rPr>
                <w:szCs w:val="24"/>
                <w:lang w:val="fi-FI"/>
              </w:rPr>
              <w:t xml:space="preserve">ja </w:t>
            </w:r>
            <w:r w:rsidRPr="00A77A31">
              <w:rPr>
                <w:szCs w:val="24"/>
                <w:lang w:val="fi-FI"/>
              </w:rPr>
              <w:t xml:space="preserve"> 12</w:t>
            </w:r>
            <w:proofErr w:type="gramEnd"/>
            <w:r w:rsidRPr="00A77A31">
              <w:rPr>
                <w:szCs w:val="24"/>
                <w:lang w:val="fi-FI"/>
              </w:rPr>
              <w:t xml:space="preserve"> §:ssä </w:t>
            </w:r>
            <w:r w:rsidR="00265A1D" w:rsidRPr="00A77A31">
              <w:rPr>
                <w:szCs w:val="24"/>
                <w:lang w:val="fi-FI"/>
              </w:rPr>
              <w:t xml:space="preserve">(käsittelyperusteena voi olla mm. lakisääteinen tehtävä tai se, että käsittely tapahtuu tieteellisen tutkimuksen tarkoituksessa) </w:t>
            </w:r>
            <w:r w:rsidRPr="00A77A31">
              <w:rPr>
                <w:szCs w:val="24"/>
                <w:lang w:val="fi-FI"/>
              </w:rPr>
              <w:t>sekä 14 §:ssä ja niiltä osin kuin tietoja luovutetaan tutkimuskäyttöön viranomaisen henkilörekisteristä, sovellettavaksi tulevat julkisuuslain säännökset, mm. julkisuuslain  28 §.</w:t>
            </w:r>
          </w:p>
        </w:tc>
      </w:tr>
      <w:tr w:rsidR="000D5632" w:rsidRPr="00AB72DE" w:rsidTr="000D5632">
        <w:tblPrEx>
          <w:tblCellMar>
            <w:left w:w="107" w:type="dxa"/>
            <w:right w:w="107" w:type="dxa"/>
          </w:tblCellMar>
        </w:tblPrEx>
        <w:tc>
          <w:tcPr>
            <w:tcW w:w="1244" w:type="dxa"/>
            <w:tcBorders>
              <w:top w:val="single" w:sz="4" w:space="0" w:color="auto"/>
              <w:left w:val="single" w:sz="4" w:space="0" w:color="auto"/>
              <w:bottom w:val="single" w:sz="4" w:space="0" w:color="auto"/>
              <w:right w:val="single" w:sz="4" w:space="0" w:color="auto"/>
            </w:tcBorders>
          </w:tcPr>
          <w:p w:rsidR="000D5632" w:rsidRPr="00AB72DE" w:rsidRDefault="000D5632" w:rsidP="00833B31">
            <w:pPr>
              <w:jc w:val="both"/>
              <w:rPr>
                <w:lang w:val="fi-FI"/>
              </w:rPr>
            </w:pPr>
          </w:p>
        </w:tc>
        <w:tc>
          <w:tcPr>
            <w:tcW w:w="1308" w:type="dxa"/>
            <w:tcBorders>
              <w:top w:val="single" w:sz="4" w:space="0" w:color="auto"/>
              <w:left w:val="single" w:sz="4" w:space="0" w:color="auto"/>
              <w:bottom w:val="single" w:sz="4" w:space="0" w:color="auto"/>
              <w:right w:val="single" w:sz="4" w:space="0" w:color="auto"/>
            </w:tcBorders>
          </w:tcPr>
          <w:p w:rsidR="000D5632" w:rsidRDefault="00CA0C7A" w:rsidP="00833B31">
            <w:pPr>
              <w:jc w:val="both"/>
            </w:pPr>
            <w:r>
              <w:t xml:space="preserve">20 </w:t>
            </w:r>
            <w:proofErr w:type="gramStart"/>
            <w:r>
              <w:t>§:n</w:t>
            </w:r>
            <w:proofErr w:type="gramEnd"/>
            <w:r>
              <w:t xml:space="preserve"> 3 mom.</w:t>
            </w:r>
          </w:p>
        </w:tc>
        <w:tc>
          <w:tcPr>
            <w:tcW w:w="6521" w:type="dxa"/>
            <w:tcBorders>
              <w:top w:val="single" w:sz="4" w:space="0" w:color="auto"/>
              <w:left w:val="single" w:sz="4" w:space="0" w:color="auto"/>
              <w:bottom w:val="single" w:sz="4" w:space="0" w:color="auto"/>
              <w:right w:val="single" w:sz="4" w:space="0" w:color="auto"/>
            </w:tcBorders>
          </w:tcPr>
          <w:p w:rsidR="000D5632" w:rsidRPr="00A77A31" w:rsidRDefault="00CA0C7A" w:rsidP="00CA0C7A">
            <w:pPr>
              <w:jc w:val="both"/>
              <w:rPr>
                <w:lang w:val="fi-FI"/>
              </w:rPr>
            </w:pPr>
            <w:r w:rsidRPr="00A77A31">
              <w:rPr>
                <w:lang w:val="fi-FI"/>
              </w:rPr>
              <w:t xml:space="preserve">Arkistolaitoksen tehtävä on määritellä se, mitkä viranomaisen tiedot </w:t>
            </w:r>
            <w:r w:rsidRPr="00A77A31">
              <w:rPr>
                <w:szCs w:val="24"/>
                <w:lang w:val="fi-FI"/>
              </w:rPr>
              <w:t xml:space="preserve">tulisi </w:t>
            </w:r>
            <w:r w:rsidRPr="00A77A31">
              <w:rPr>
                <w:bCs/>
                <w:szCs w:val="24"/>
                <w:lang w:val="fi-FI"/>
              </w:rPr>
              <w:t xml:space="preserve">säilyttää pysyvästi </w:t>
            </w:r>
            <w:r w:rsidRPr="00A77A31">
              <w:rPr>
                <w:szCs w:val="24"/>
                <w:lang w:val="fi-FI"/>
              </w:rPr>
              <w:t>tieteellisen ja muun tutkimuksen tarpeisiin</w:t>
            </w:r>
          </w:p>
        </w:tc>
        <w:tc>
          <w:tcPr>
            <w:tcW w:w="5811" w:type="dxa"/>
            <w:tcBorders>
              <w:top w:val="single" w:sz="4" w:space="0" w:color="auto"/>
              <w:left w:val="single" w:sz="4" w:space="0" w:color="auto"/>
              <w:bottom w:val="single" w:sz="4" w:space="0" w:color="auto"/>
              <w:right w:val="single" w:sz="4" w:space="0" w:color="auto"/>
            </w:tcBorders>
          </w:tcPr>
          <w:p w:rsidR="000D5632" w:rsidRPr="00ED430D" w:rsidRDefault="00CA0C7A" w:rsidP="00833B31">
            <w:pPr>
              <w:jc w:val="both"/>
              <w:rPr>
                <w:rStyle w:val="Hyperlinkki"/>
                <w:szCs w:val="24"/>
                <w:lang w:val="fi-FI"/>
              </w:rPr>
            </w:pPr>
            <w:r w:rsidRPr="00ED430D">
              <w:rPr>
                <w:szCs w:val="24"/>
                <w:lang w:val="fi-FI"/>
              </w:rPr>
              <w:t>Tässä l</w:t>
            </w:r>
            <w:r w:rsidRPr="00ED430D">
              <w:rPr>
                <w:szCs w:val="24"/>
                <w:lang w:val="fi-FI"/>
              </w:rPr>
              <w:t>ainkohdassa säädetään myös siitä, että ”Säteilyturvakeskus voi tutkimustarkoituksia varten säilyttää tietoja tätä pidempään”.</w:t>
            </w:r>
            <w:r w:rsidR="00ED430D" w:rsidRPr="00ED430D">
              <w:rPr>
                <w:szCs w:val="24"/>
                <w:lang w:val="fi-FI"/>
              </w:rPr>
              <w:t xml:space="preserve"> Kyseinen lause on hyvin epämääräinen, eikä täsmennä vaadittavalla tarkkuudella arkaluonteisten tietojen säilytysaikaa ko. rekisterissä.</w:t>
            </w:r>
            <w:r w:rsidRPr="00ED430D">
              <w:rPr>
                <w:szCs w:val="24"/>
                <w:lang w:val="fi-FI"/>
              </w:rPr>
              <w:t xml:space="preserve"> Arkistolain (831/1994) 8 §:</w:t>
            </w:r>
            <w:proofErr w:type="spellStart"/>
            <w:r w:rsidRPr="00ED430D">
              <w:rPr>
                <w:szCs w:val="24"/>
                <w:lang w:val="fi-FI"/>
              </w:rPr>
              <w:t>än</w:t>
            </w:r>
            <w:proofErr w:type="spellEnd"/>
            <w:r w:rsidRPr="00ED430D">
              <w:rPr>
                <w:szCs w:val="24"/>
                <w:lang w:val="fi-FI"/>
              </w:rPr>
              <w:t xml:space="preserve"> ja sen perusteluihin viitaten totean, että arkistolaitoksen tehtävä on määritellä, mitkä viranomaisten tiedot ovat sellaisia, että mitkä asiakirjat ja tiedot tulisi </w:t>
            </w:r>
            <w:r w:rsidRPr="00ED430D">
              <w:rPr>
                <w:bCs/>
                <w:szCs w:val="24"/>
                <w:lang w:val="fi-FI"/>
              </w:rPr>
              <w:t xml:space="preserve">säilyttää pysyvästi </w:t>
            </w:r>
            <w:r w:rsidRPr="00ED430D">
              <w:rPr>
                <w:szCs w:val="24"/>
                <w:lang w:val="fi-FI"/>
              </w:rPr>
              <w:t>tieteellisen ja muun tutkimuksen tarpeisiin. Kuten edellä on esitetty, tietoja saa säilyttää henkilörekisterissä vain niin kauan, kun se on käyttötarkoituksen kannalta tarpeellista.</w:t>
            </w:r>
            <w:r w:rsidR="00ED430D">
              <w:rPr>
                <w:szCs w:val="24"/>
                <w:lang w:val="fi-FI"/>
              </w:rPr>
              <w:t xml:space="preserve"> Tiedot voidaan kuitenkin tämän jälkeen siirtää arkistoon viranomaisen arkisto</w:t>
            </w:r>
            <w:r w:rsidR="00A77A31">
              <w:rPr>
                <w:szCs w:val="24"/>
                <w:lang w:val="fi-FI"/>
              </w:rPr>
              <w:t>n</w:t>
            </w:r>
            <w:r w:rsidR="00ED430D">
              <w:rPr>
                <w:szCs w:val="24"/>
                <w:lang w:val="fi-FI"/>
              </w:rPr>
              <w:t>muodostussuunnitelmas</w:t>
            </w:r>
            <w:r w:rsidR="00A77A31">
              <w:rPr>
                <w:szCs w:val="24"/>
                <w:lang w:val="fi-FI"/>
              </w:rPr>
              <w:t>s</w:t>
            </w:r>
            <w:r w:rsidR="00ED430D">
              <w:rPr>
                <w:szCs w:val="24"/>
                <w:lang w:val="fi-FI"/>
              </w:rPr>
              <w:t>a määritetyllä tavalla.</w:t>
            </w:r>
            <w:r w:rsidRPr="00ED430D">
              <w:rPr>
                <w:szCs w:val="24"/>
                <w:lang w:val="fi-FI"/>
              </w:rPr>
              <w:t xml:space="preserve"> Olen analysoinut henkilötietojen poistamista viranomaisen henkilörekisteristä sekä arkistoimista ratkaisussani </w:t>
            </w:r>
            <w:proofErr w:type="spellStart"/>
            <w:r w:rsidRPr="00ED430D">
              <w:rPr>
                <w:szCs w:val="24"/>
                <w:lang w:val="fi-FI"/>
              </w:rPr>
              <w:t>Dnro</w:t>
            </w:r>
            <w:proofErr w:type="spellEnd"/>
            <w:r w:rsidRPr="00ED430D">
              <w:rPr>
                <w:szCs w:val="24"/>
                <w:lang w:val="fi-FI"/>
              </w:rPr>
              <w:t xml:space="preserve"> 1487/05/2013, joka on löydettävissä toimistomme sivuilta osoitteesta: </w:t>
            </w:r>
            <w:hyperlink r:id="rId4" w:history="1">
              <w:r w:rsidRPr="00ED430D">
                <w:rPr>
                  <w:rStyle w:val="Hyperlinkki"/>
                  <w:szCs w:val="24"/>
                  <w:lang w:val="fi-FI"/>
                </w:rPr>
                <w:t>http://www.tietosuoja.fi/fi/index/ratkaisut/henkilotietojenpoistaminenviranomaistenhenkilorekistereistajatietojenarkistointi.html</w:t>
              </w:r>
            </w:hyperlink>
          </w:p>
          <w:p w:rsidR="00CA0C7A" w:rsidRPr="00AB72DE" w:rsidRDefault="00265A1D" w:rsidP="00833B31">
            <w:pPr>
              <w:jc w:val="both"/>
              <w:rPr>
                <w:lang w:val="fi-FI"/>
              </w:rPr>
            </w:pPr>
            <w:r w:rsidRPr="00ED430D">
              <w:rPr>
                <w:lang w:val="fi-FI"/>
              </w:rPr>
              <w:t>Liitän myös oheen ”Tiedon elinkaari” -kaavion, joka havainnollistaa henkilörekisteriin talletetun sekä viranomaisen asiakirjaksi katsottavan tiedon elinkaarta (Liite 2).</w:t>
            </w:r>
          </w:p>
        </w:tc>
      </w:tr>
      <w:tr w:rsidR="00CA0C7A" w:rsidRPr="00AB72DE" w:rsidTr="000D5632">
        <w:tblPrEx>
          <w:tblCellMar>
            <w:left w:w="107" w:type="dxa"/>
            <w:right w:w="107" w:type="dxa"/>
          </w:tblCellMar>
        </w:tblPrEx>
        <w:tc>
          <w:tcPr>
            <w:tcW w:w="1244" w:type="dxa"/>
            <w:tcBorders>
              <w:top w:val="single" w:sz="4" w:space="0" w:color="auto"/>
              <w:left w:val="single" w:sz="4" w:space="0" w:color="auto"/>
              <w:bottom w:val="single" w:sz="4" w:space="0" w:color="auto"/>
              <w:right w:val="single" w:sz="4" w:space="0" w:color="auto"/>
            </w:tcBorders>
          </w:tcPr>
          <w:p w:rsidR="00CA0C7A" w:rsidRPr="00AB72DE" w:rsidRDefault="00CA0C7A" w:rsidP="00CA0C7A">
            <w:pPr>
              <w:jc w:val="both"/>
              <w:rPr>
                <w:lang w:val="fi-FI"/>
              </w:rPr>
            </w:pPr>
          </w:p>
        </w:tc>
        <w:tc>
          <w:tcPr>
            <w:tcW w:w="1308" w:type="dxa"/>
            <w:tcBorders>
              <w:top w:val="single" w:sz="4" w:space="0" w:color="auto"/>
              <w:left w:val="single" w:sz="4" w:space="0" w:color="auto"/>
              <w:bottom w:val="single" w:sz="4" w:space="0" w:color="auto"/>
              <w:right w:val="single" w:sz="4" w:space="0" w:color="auto"/>
            </w:tcBorders>
          </w:tcPr>
          <w:p w:rsidR="00CA0C7A" w:rsidRDefault="00CA0C7A" w:rsidP="00CA0C7A">
            <w:pPr>
              <w:jc w:val="both"/>
            </w:pPr>
            <w:r>
              <w:t>s. 60</w:t>
            </w:r>
          </w:p>
        </w:tc>
        <w:tc>
          <w:tcPr>
            <w:tcW w:w="6521" w:type="dxa"/>
            <w:tcBorders>
              <w:top w:val="single" w:sz="4" w:space="0" w:color="auto"/>
              <w:left w:val="single" w:sz="4" w:space="0" w:color="auto"/>
              <w:bottom w:val="single" w:sz="4" w:space="0" w:color="auto"/>
              <w:right w:val="single" w:sz="4" w:space="0" w:color="auto"/>
            </w:tcBorders>
          </w:tcPr>
          <w:p w:rsidR="00CA0C7A" w:rsidRPr="00AB72DE" w:rsidRDefault="00CA0C7A" w:rsidP="00A77A31">
            <w:pPr>
              <w:jc w:val="both"/>
              <w:rPr>
                <w:lang w:val="fi-FI"/>
              </w:rPr>
            </w:pPr>
            <w:r w:rsidRPr="00AB72DE">
              <w:rPr>
                <w:lang w:val="fi-FI"/>
              </w:rPr>
              <w:t xml:space="preserve">Tiedot </w:t>
            </w:r>
            <w:r w:rsidR="00A77A31">
              <w:rPr>
                <w:lang w:val="fi-FI"/>
              </w:rPr>
              <w:t>tulisi voida luovuttaa</w:t>
            </w:r>
            <w:r>
              <w:rPr>
                <w:lang w:val="fi-FI"/>
              </w:rPr>
              <w:t xml:space="preserve"> sähköisessä muodossa, vaikka suoraa sähköistä yhteyttä annosrekisteriin ei olisikaan työnantajan käytössä.</w:t>
            </w:r>
          </w:p>
        </w:tc>
        <w:tc>
          <w:tcPr>
            <w:tcW w:w="5811" w:type="dxa"/>
            <w:tcBorders>
              <w:top w:val="single" w:sz="4" w:space="0" w:color="auto"/>
              <w:left w:val="single" w:sz="4" w:space="0" w:color="auto"/>
              <w:bottom w:val="single" w:sz="4" w:space="0" w:color="auto"/>
              <w:right w:val="single" w:sz="4" w:space="0" w:color="auto"/>
            </w:tcBorders>
          </w:tcPr>
          <w:p w:rsidR="00CA0C7A" w:rsidRPr="00AB72DE" w:rsidRDefault="00CA0C7A" w:rsidP="00CA0C7A">
            <w:pPr>
              <w:rPr>
                <w:lang w:val="fi-FI"/>
              </w:rPr>
            </w:pPr>
            <w:r w:rsidRPr="00AB72DE">
              <w:rPr>
                <w:lang w:val="fi-FI"/>
              </w:rPr>
              <w:t xml:space="preserve">Nyt lausunnon kohteena olevan esityksen 20 §:n </w:t>
            </w:r>
            <w:r>
              <w:rPr>
                <w:lang w:val="fi-FI"/>
              </w:rPr>
              <w:t>h</w:t>
            </w:r>
            <w:r w:rsidRPr="00AB72DE">
              <w:rPr>
                <w:lang w:val="fi-FI"/>
              </w:rPr>
              <w:t>allituksen esityksen perusteluissa</w:t>
            </w:r>
            <w:r>
              <w:rPr>
                <w:lang w:val="fi-FI"/>
              </w:rPr>
              <w:t xml:space="preserve"> (s. 60)</w:t>
            </w:r>
            <w:r w:rsidRPr="00AB72DE">
              <w:rPr>
                <w:lang w:val="fi-FI"/>
              </w:rPr>
              <w:t xml:space="preserve"> todetaan, että tietoja annosrekisteristä voidaan luovuttaa sähköisen yhteyden kautta, jos työnantajalla on käytössään sellainen. Lisäksi todetaan, että ”Jos yhteyttä ei ole, tiedot voidaan pyytää ja antaa annosrekisteristä henkilötietosäädösten mukaisesti vain kirjallisesti.” Todettakoon, että viranomaisen henkilörekisteristä luovutettaviin tietoihin sovelletaan erityislakina lakia viranomaisen toiminnan julkisuudesta (621/1999), eikä henkilötietolakia (Kts. henkilötietolain 8 §:n 4 momentti). Tämän lisäksi on todettava, että henkilötietolaki on kokonaisuudessaan teknologianeutraali, eikä aseta eri asemaan sähköistä tai manuaalista käsittelyä. Kun edellä esitetyn lisäksi asiassa huomioidaan myös muu viranomaisen toimintaa kokeva lainsäädäntö (mm. laki sähköisestä asioinnista viranomaistoiminnassa (13/2003)), epäselväksi jää, miksi tietojen toimittaminen etäyhteyden puuttuessa on rajattu vain kirjalliseen muotoon?</w:t>
            </w:r>
          </w:p>
          <w:p w:rsidR="00CA0C7A" w:rsidRPr="00AB72DE" w:rsidRDefault="00CA0C7A" w:rsidP="00CA0C7A">
            <w:pPr>
              <w:jc w:val="both"/>
              <w:rPr>
                <w:lang w:val="fi-FI"/>
              </w:rPr>
            </w:pPr>
          </w:p>
        </w:tc>
      </w:tr>
      <w:tr w:rsidR="00265A1D" w:rsidRPr="00AB72DE" w:rsidTr="000D5632">
        <w:tblPrEx>
          <w:tblCellMar>
            <w:left w:w="107" w:type="dxa"/>
            <w:right w:w="107" w:type="dxa"/>
          </w:tblCellMar>
        </w:tblPrEx>
        <w:tc>
          <w:tcPr>
            <w:tcW w:w="1244"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c>
          <w:tcPr>
            <w:tcW w:w="1308" w:type="dxa"/>
            <w:tcBorders>
              <w:top w:val="single" w:sz="4" w:space="0" w:color="auto"/>
              <w:left w:val="single" w:sz="4" w:space="0" w:color="auto"/>
              <w:bottom w:val="single" w:sz="4" w:space="0" w:color="auto"/>
              <w:right w:val="single" w:sz="4" w:space="0" w:color="auto"/>
            </w:tcBorders>
          </w:tcPr>
          <w:p w:rsidR="00995F45" w:rsidRPr="00AB72DE" w:rsidRDefault="00265A1D" w:rsidP="00265A1D">
            <w:pPr>
              <w:jc w:val="both"/>
              <w:rPr>
                <w:lang w:val="fi-FI"/>
              </w:rPr>
            </w:pPr>
            <w:r>
              <w:rPr>
                <w:lang w:val="fi-FI"/>
              </w:rPr>
              <w:t>86 §</w:t>
            </w:r>
            <w:r w:rsidR="00995F45">
              <w:rPr>
                <w:lang w:val="fi-FI"/>
              </w:rPr>
              <w:t>, s. 101 - 102</w:t>
            </w:r>
          </w:p>
        </w:tc>
        <w:tc>
          <w:tcPr>
            <w:tcW w:w="6521" w:type="dxa"/>
            <w:tcBorders>
              <w:top w:val="single" w:sz="4" w:space="0" w:color="auto"/>
              <w:left w:val="single" w:sz="4" w:space="0" w:color="auto"/>
              <w:bottom w:val="single" w:sz="4" w:space="0" w:color="auto"/>
              <w:right w:val="single" w:sz="4" w:space="0" w:color="auto"/>
            </w:tcBorders>
          </w:tcPr>
          <w:p w:rsidR="00265A1D" w:rsidRPr="00265A1D" w:rsidRDefault="00265A1D" w:rsidP="00265A1D">
            <w:pPr>
              <w:rPr>
                <w:lang w:val="fi-FI"/>
              </w:rPr>
            </w:pPr>
            <w:r>
              <w:rPr>
                <w:lang w:val="fi-FI"/>
              </w:rPr>
              <w:t xml:space="preserve">Onko lääkärin </w:t>
            </w:r>
            <w:r w:rsidRPr="00265A1D">
              <w:rPr>
                <w:szCs w:val="24"/>
                <w:lang w:val="fi-FI"/>
              </w:rPr>
              <w:t>yhteydenoton yhteydessä tarpeellista luovuttaa arkaluonteisia tai salassa</w:t>
            </w:r>
            <w:r>
              <w:rPr>
                <w:szCs w:val="24"/>
                <w:lang w:val="fi-FI"/>
              </w:rPr>
              <w:t xml:space="preserve"> </w:t>
            </w:r>
            <w:r w:rsidRPr="00265A1D">
              <w:rPr>
                <w:szCs w:val="24"/>
                <w:lang w:val="fi-FI"/>
              </w:rPr>
              <w:t>pidettäviä tietoja?</w:t>
            </w:r>
            <w:r>
              <w:rPr>
                <w:szCs w:val="24"/>
                <w:lang w:val="fi-FI"/>
              </w:rPr>
              <w:t xml:space="preserve"> Jos on, onko tämä mahdollista lausunnon kohteena olevan lain </w:t>
            </w:r>
            <w:r w:rsidRPr="00265A1D">
              <w:rPr>
                <w:szCs w:val="24"/>
                <w:lang w:val="fi-FI"/>
              </w:rPr>
              <w:t>87 §:n 2 momentin 137 §:n 1 momentin 4 kohdan nojalla</w:t>
            </w:r>
            <w:r>
              <w:rPr>
                <w:szCs w:val="24"/>
                <w:lang w:val="fi-FI"/>
              </w:rPr>
              <w:t>? Säännöksien salassa</w:t>
            </w:r>
            <w:r w:rsidR="00995F45">
              <w:rPr>
                <w:szCs w:val="24"/>
                <w:lang w:val="fi-FI"/>
              </w:rPr>
              <w:t xml:space="preserve"> </w:t>
            </w:r>
            <w:r>
              <w:rPr>
                <w:szCs w:val="24"/>
                <w:lang w:val="fi-FI"/>
              </w:rPr>
              <w:t xml:space="preserve">pidettävien tietojen luovutusten sekä toisaalta vastaanottajan käsittelyoikeuksien </w:t>
            </w:r>
            <w:r w:rsidR="00995F45">
              <w:rPr>
                <w:szCs w:val="24"/>
                <w:lang w:val="fi-FI"/>
              </w:rPr>
              <w:t xml:space="preserve">osalta </w:t>
            </w:r>
            <w:r>
              <w:rPr>
                <w:szCs w:val="24"/>
                <w:lang w:val="fi-FI"/>
              </w:rPr>
              <w:t>tulee olla selkeitä ja yksiselitteisiä.</w:t>
            </w:r>
          </w:p>
        </w:tc>
        <w:tc>
          <w:tcPr>
            <w:tcW w:w="5811" w:type="dxa"/>
            <w:tcBorders>
              <w:top w:val="single" w:sz="4" w:space="0" w:color="auto"/>
              <w:left w:val="single" w:sz="4" w:space="0" w:color="auto"/>
              <w:bottom w:val="single" w:sz="4" w:space="0" w:color="auto"/>
              <w:right w:val="single" w:sz="4" w:space="0" w:color="auto"/>
            </w:tcBorders>
          </w:tcPr>
          <w:p w:rsidR="00995F45" w:rsidRPr="00995F45" w:rsidRDefault="00995F45" w:rsidP="00995F45">
            <w:pPr>
              <w:rPr>
                <w:szCs w:val="24"/>
                <w:lang w:val="fi-FI"/>
              </w:rPr>
            </w:pPr>
            <w:r w:rsidRPr="00995F45">
              <w:rPr>
                <w:szCs w:val="24"/>
                <w:lang w:val="fi-FI"/>
              </w:rPr>
              <w:t>L</w:t>
            </w:r>
            <w:r>
              <w:rPr>
                <w:szCs w:val="24"/>
                <w:lang w:val="fi-FI"/>
              </w:rPr>
              <w:t>ain 86 §:ssä säädetään lääkärin y</w:t>
            </w:r>
            <w:r w:rsidRPr="00995F45">
              <w:rPr>
                <w:szCs w:val="24"/>
                <w:lang w:val="fi-FI"/>
              </w:rPr>
              <w:t>hteydenottovelvollisuudesta. Näiltä osin herää, kysymys siitä, onko yhteydenoton yhteydessä tarpeellista luovuttaa arkaluonteisia tai salassa</w:t>
            </w:r>
            <w:r>
              <w:rPr>
                <w:szCs w:val="24"/>
                <w:lang w:val="fi-FI"/>
              </w:rPr>
              <w:t xml:space="preserve"> </w:t>
            </w:r>
            <w:r w:rsidRPr="00995F45">
              <w:rPr>
                <w:szCs w:val="24"/>
                <w:lang w:val="fi-FI"/>
              </w:rPr>
              <w:t xml:space="preserve">pidettäviä tietoja? </w:t>
            </w:r>
          </w:p>
          <w:p w:rsidR="00995F45" w:rsidRPr="00995F45" w:rsidRDefault="00995F45" w:rsidP="00995F45">
            <w:pPr>
              <w:rPr>
                <w:szCs w:val="24"/>
                <w:lang w:val="fi-FI"/>
              </w:rPr>
            </w:pPr>
          </w:p>
          <w:p w:rsidR="00995F45" w:rsidRPr="00A77A31" w:rsidRDefault="00995F45" w:rsidP="00995F45">
            <w:pPr>
              <w:rPr>
                <w:bCs/>
                <w:szCs w:val="24"/>
                <w:lang w:val="fi-FI"/>
              </w:rPr>
            </w:pPr>
            <w:r w:rsidRPr="00995F45">
              <w:rPr>
                <w:color w:val="000000"/>
                <w:szCs w:val="24"/>
                <w:lang w:val="fi-FI"/>
              </w:rPr>
              <w:t xml:space="preserve">Potilaslain 13 §:n mukaisesti potilasasiakirjat ovat lähtökohtaisesti salassa pidettäviä. Olennaista on havaita, että edellä säädetty salassapitovelvoite koskee </w:t>
            </w:r>
            <w:r w:rsidRPr="00995F45">
              <w:rPr>
                <w:bCs/>
                <w:color w:val="000000"/>
                <w:szCs w:val="24"/>
                <w:lang w:val="fi-FI"/>
              </w:rPr>
              <w:t>kaikkia potilasasiakirjaan merkittyjä tietoja.</w:t>
            </w:r>
            <w:r w:rsidRPr="00995F45">
              <w:rPr>
                <w:b/>
                <w:bCs/>
                <w:color w:val="000000"/>
                <w:szCs w:val="24"/>
                <w:lang w:val="fi-FI"/>
              </w:rPr>
              <w:t xml:space="preserve"> </w:t>
            </w:r>
            <w:r w:rsidRPr="00995F45">
              <w:rPr>
                <w:color w:val="000000"/>
                <w:szCs w:val="24"/>
                <w:lang w:val="fi-FI"/>
              </w:rPr>
              <w:t>Siitä, millä muilla perusteilla edellä mainitusta salassapitovelvollisuudesta voidaan poiketa, säädetään potilaslain 13 §:n 3 ja 4 momentissa. Salassapitovelvollisuuden rikkominen on säädetty rangaistavaksi potilaslain 14 §:n nojalla.</w:t>
            </w:r>
            <w:r w:rsidRPr="00995F45">
              <w:rPr>
                <w:szCs w:val="24"/>
                <w:lang w:val="fi-FI"/>
              </w:rPr>
              <w:t xml:space="preserve"> Edellä esitetyn lisäksi terveydenhuollossa tulevat noudatettavaksi viranomaisten toiminnan julkisuudesta </w:t>
            </w:r>
            <w:r w:rsidRPr="00995F45">
              <w:rPr>
                <w:szCs w:val="24"/>
                <w:lang w:val="fi-FI"/>
              </w:rPr>
              <w:lastRenderedPageBreak/>
              <w:t>annetun lain (621/1999) eli julkisuuslain mukaiset salassapitovelvoitteet, joihin sisältyy asiakirjasalaisuus (22 §) sekä vaitiolovelvollisuus ja hyväksikäyttökielto (23 §). Tämän lisäksi on huomioitava vielä henkilötietolain 33 §:n mukainen</w:t>
            </w:r>
            <w:r>
              <w:rPr>
                <w:szCs w:val="24"/>
                <w:lang w:val="fi-FI"/>
              </w:rPr>
              <w:t xml:space="preserve"> </w:t>
            </w:r>
            <w:r w:rsidRPr="00995F45">
              <w:rPr>
                <w:szCs w:val="24"/>
                <w:lang w:val="fi-FI"/>
              </w:rPr>
              <w:t xml:space="preserve">vaitiolovelvollisuus. Julkisuuslain 23 §:n 1 momentin mukaan viranomaisen palveluksessa oleva samoin kuin luottamustehtävää hoitava </w:t>
            </w:r>
            <w:bookmarkStart w:id="0" w:name="_GoBack"/>
            <w:r w:rsidRPr="00A77A31">
              <w:rPr>
                <w:bCs/>
                <w:szCs w:val="24"/>
                <w:lang w:val="fi-FI"/>
              </w:rPr>
              <w:t>ei saa paljastaa asiakirjan salassa pidettävää sisältöä</w:t>
            </w:r>
          </w:p>
          <w:p w:rsidR="00995F45" w:rsidRPr="00995F45" w:rsidRDefault="00995F45" w:rsidP="00995F45">
            <w:pPr>
              <w:rPr>
                <w:szCs w:val="24"/>
                <w:lang w:val="fi-FI"/>
              </w:rPr>
            </w:pPr>
            <w:r w:rsidRPr="00A77A31">
              <w:rPr>
                <w:bCs/>
                <w:szCs w:val="24"/>
                <w:lang w:val="fi-FI"/>
              </w:rPr>
              <w:t>tai tietoa, joka asiakirjaan merkittynä olisi salassa pidettävä</w:t>
            </w:r>
            <w:r w:rsidRPr="00A77A31">
              <w:rPr>
                <w:szCs w:val="24"/>
                <w:lang w:val="fi-FI"/>
              </w:rPr>
              <w:t xml:space="preserve">, </w:t>
            </w:r>
            <w:bookmarkEnd w:id="0"/>
            <w:r w:rsidRPr="00995F45">
              <w:rPr>
                <w:szCs w:val="24"/>
                <w:lang w:val="fi-FI"/>
              </w:rPr>
              <w:t>eikä muutakaan</w:t>
            </w:r>
            <w:r>
              <w:rPr>
                <w:szCs w:val="24"/>
                <w:lang w:val="fi-FI"/>
              </w:rPr>
              <w:t xml:space="preserve"> </w:t>
            </w:r>
            <w:r w:rsidRPr="00995F45">
              <w:rPr>
                <w:szCs w:val="24"/>
                <w:lang w:val="fi-FI"/>
              </w:rPr>
              <w:t>viranomaisessa toimiessaan tietoonsa saamaa seikkaa, josta lailla on säädetty vaitiolovelvollisuus.</w:t>
            </w:r>
          </w:p>
          <w:p w:rsidR="00995F45" w:rsidRPr="00995F45" w:rsidRDefault="00995F45" w:rsidP="00995F45">
            <w:pPr>
              <w:rPr>
                <w:szCs w:val="24"/>
                <w:lang w:val="fi-FI"/>
              </w:rPr>
            </w:pPr>
          </w:p>
          <w:p w:rsidR="00995F45" w:rsidRPr="00995F45" w:rsidRDefault="00995F45" w:rsidP="00995F45">
            <w:pPr>
              <w:rPr>
                <w:szCs w:val="24"/>
                <w:lang w:val="fi-FI"/>
              </w:rPr>
            </w:pPr>
            <w:r w:rsidRPr="00995F45">
              <w:rPr>
                <w:szCs w:val="24"/>
                <w:lang w:val="fi-FI"/>
              </w:rPr>
              <w:t>Edellä esitetty huomioiden sekä se, ettei 86 §:n perusteluissa</w:t>
            </w:r>
            <w:r>
              <w:rPr>
                <w:szCs w:val="24"/>
                <w:lang w:val="fi-FI"/>
              </w:rPr>
              <w:t xml:space="preserve"> </w:t>
            </w:r>
            <w:r w:rsidRPr="00995F45">
              <w:rPr>
                <w:szCs w:val="24"/>
                <w:lang w:val="fi-FI"/>
              </w:rPr>
              <w:t xml:space="preserve">pystytä yksiselitteisesti sulkemaan poissa tarvetta luovuttaa salassa pidettävien ja arkaluonteisia henkilötietoja (perusteluiden mukaan ”Salassa pidettäviä tietoa ei </w:t>
            </w:r>
            <w:r w:rsidRPr="00995F45">
              <w:rPr>
                <w:i/>
                <w:szCs w:val="24"/>
                <w:lang w:val="fi-FI"/>
              </w:rPr>
              <w:t xml:space="preserve">tarvinne </w:t>
            </w:r>
            <w:r w:rsidRPr="00995F45">
              <w:rPr>
                <w:szCs w:val="24"/>
                <w:lang w:val="fi-FI"/>
              </w:rPr>
              <w:t xml:space="preserve">luovuttaa. Säteilyturvakeskukselle ilmoitettaisiin toiminnanharjoittajan nimi, mutta </w:t>
            </w:r>
            <w:r w:rsidRPr="00995F45">
              <w:rPr>
                <w:i/>
                <w:szCs w:val="24"/>
                <w:lang w:val="fi-FI"/>
              </w:rPr>
              <w:t>ei välttämättä</w:t>
            </w:r>
            <w:r w:rsidRPr="00995F45">
              <w:rPr>
                <w:szCs w:val="24"/>
                <w:lang w:val="fi-FI"/>
              </w:rPr>
              <w:t xml:space="preserve"> työntekijän henkilötietoja tai nimeä.) tulisi säännöstä muuttaa siten, että se varmuudella mahdollistaisi tarvittavien tietojen luovuttamisen Säteilyturvakeskukselle. Jo pelkkä potilassuhde on salassa pidettävä tieto. Herää myös kysymys siitä, että mikä on tämän 86 §:n ja toisaalta 87 §:n 2 sekä 137 §:n 1 momentin 4 kohdan momentin välinen suhde? Onko salassa pidettävien tietojen luovuttaminen sittenkin mahdollista 87 §:n 2 momentin tai 137 §:n 1 momentin 4 kohdan nojalla? </w:t>
            </w:r>
          </w:p>
          <w:p w:rsidR="00265A1D" w:rsidRPr="00AB72DE" w:rsidRDefault="00265A1D" w:rsidP="00265A1D">
            <w:pPr>
              <w:jc w:val="both"/>
              <w:rPr>
                <w:lang w:val="fi-FI"/>
              </w:rPr>
            </w:pPr>
          </w:p>
        </w:tc>
      </w:tr>
      <w:tr w:rsidR="00265A1D" w:rsidRPr="00AB72DE" w:rsidTr="000D5632">
        <w:tblPrEx>
          <w:tblCellMar>
            <w:left w:w="107" w:type="dxa"/>
            <w:right w:w="107" w:type="dxa"/>
          </w:tblCellMar>
        </w:tblPrEx>
        <w:tc>
          <w:tcPr>
            <w:tcW w:w="1244"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c>
          <w:tcPr>
            <w:tcW w:w="1308" w:type="dxa"/>
            <w:tcBorders>
              <w:top w:val="single" w:sz="4" w:space="0" w:color="auto"/>
              <w:left w:val="single" w:sz="4" w:space="0" w:color="auto"/>
              <w:bottom w:val="single" w:sz="4" w:space="0" w:color="auto"/>
              <w:right w:val="single" w:sz="4" w:space="0" w:color="auto"/>
            </w:tcBorders>
          </w:tcPr>
          <w:p w:rsidR="00265A1D" w:rsidRPr="00AB72DE" w:rsidRDefault="00995F45" w:rsidP="00265A1D">
            <w:pPr>
              <w:jc w:val="both"/>
              <w:rPr>
                <w:lang w:val="fi-FI"/>
              </w:rPr>
            </w:pPr>
            <w:r>
              <w:rPr>
                <w:lang w:val="fi-FI"/>
              </w:rPr>
              <w:t>87 §</w:t>
            </w:r>
          </w:p>
        </w:tc>
        <w:tc>
          <w:tcPr>
            <w:tcW w:w="6521" w:type="dxa"/>
            <w:tcBorders>
              <w:top w:val="single" w:sz="4" w:space="0" w:color="auto"/>
              <w:left w:val="single" w:sz="4" w:space="0" w:color="auto"/>
              <w:bottom w:val="single" w:sz="4" w:space="0" w:color="auto"/>
              <w:right w:val="single" w:sz="4" w:space="0" w:color="auto"/>
            </w:tcBorders>
          </w:tcPr>
          <w:p w:rsidR="00265A1D" w:rsidRPr="00AB72DE" w:rsidRDefault="005553BA" w:rsidP="005553BA">
            <w:pPr>
              <w:jc w:val="both"/>
              <w:rPr>
                <w:lang w:val="fi-FI"/>
              </w:rPr>
            </w:pPr>
            <w:r>
              <w:rPr>
                <w:lang w:val="fi-FI"/>
              </w:rPr>
              <w:t>Siit</w:t>
            </w:r>
            <w:r w:rsidR="00995F45">
              <w:rPr>
                <w:lang w:val="fi-FI"/>
              </w:rPr>
              <w:t>ä, minkä aikaa tietoja säilytetään</w:t>
            </w:r>
            <w:r>
              <w:rPr>
                <w:lang w:val="fi-FI"/>
              </w:rPr>
              <w:t xml:space="preserve"> </w:t>
            </w:r>
            <w:r w:rsidR="00995F45">
              <w:rPr>
                <w:lang w:val="fi-FI"/>
              </w:rPr>
              <w:t>potilasasiakirjoissa</w:t>
            </w:r>
            <w:r>
              <w:rPr>
                <w:lang w:val="fi-FI"/>
              </w:rPr>
              <w:t>,</w:t>
            </w:r>
            <w:r w:rsidR="00995F45">
              <w:rPr>
                <w:lang w:val="fi-FI"/>
              </w:rPr>
              <w:t xml:space="preserve"> säädetään</w:t>
            </w:r>
            <w:r>
              <w:rPr>
                <w:lang w:val="fi-FI"/>
              </w:rPr>
              <w:t xml:space="preserve"> </w:t>
            </w:r>
            <w:proofErr w:type="spellStart"/>
            <w:r>
              <w:rPr>
                <w:lang w:val="fi-FI"/>
              </w:rPr>
              <w:t>sosiaali</w:t>
            </w:r>
            <w:proofErr w:type="spellEnd"/>
            <w:r>
              <w:rPr>
                <w:lang w:val="fi-FI"/>
              </w:rPr>
              <w:t>- ja terveysministeriön potilasasiakirja-asetuksessa (298/2009). Säilytysaikaa koskevat säännökset tulee keskittää kyseisen asetukseen ja sen liitteeseen, jossa eri tietotyyppien yksityiskohtaiset säilytysajat on määritelty.</w:t>
            </w:r>
          </w:p>
        </w:tc>
        <w:tc>
          <w:tcPr>
            <w:tcW w:w="5811"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r>
      <w:tr w:rsidR="00265A1D" w:rsidRPr="00AB72DE" w:rsidTr="000D5632">
        <w:tblPrEx>
          <w:tblCellMar>
            <w:left w:w="107" w:type="dxa"/>
            <w:right w:w="107" w:type="dxa"/>
          </w:tblCellMar>
        </w:tblPrEx>
        <w:tc>
          <w:tcPr>
            <w:tcW w:w="1244"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c>
          <w:tcPr>
            <w:tcW w:w="1308" w:type="dxa"/>
            <w:tcBorders>
              <w:top w:val="single" w:sz="4" w:space="0" w:color="auto"/>
              <w:left w:val="single" w:sz="4" w:space="0" w:color="auto"/>
              <w:bottom w:val="single" w:sz="4" w:space="0" w:color="auto"/>
              <w:right w:val="single" w:sz="4" w:space="0" w:color="auto"/>
            </w:tcBorders>
          </w:tcPr>
          <w:p w:rsidR="00265A1D" w:rsidRPr="00AB72DE" w:rsidRDefault="005553BA" w:rsidP="00265A1D">
            <w:pPr>
              <w:jc w:val="both"/>
              <w:rPr>
                <w:lang w:val="fi-FI"/>
              </w:rPr>
            </w:pPr>
            <w:r>
              <w:rPr>
                <w:lang w:val="fi-FI"/>
              </w:rPr>
              <w:t>142 §</w:t>
            </w:r>
          </w:p>
        </w:tc>
        <w:tc>
          <w:tcPr>
            <w:tcW w:w="6521" w:type="dxa"/>
            <w:tcBorders>
              <w:top w:val="single" w:sz="4" w:space="0" w:color="auto"/>
              <w:left w:val="single" w:sz="4" w:space="0" w:color="auto"/>
              <w:bottom w:val="single" w:sz="4" w:space="0" w:color="auto"/>
              <w:right w:val="single" w:sz="4" w:space="0" w:color="auto"/>
            </w:tcBorders>
          </w:tcPr>
          <w:p w:rsidR="00265A1D" w:rsidRPr="00AB72DE" w:rsidRDefault="005553BA" w:rsidP="00265A1D">
            <w:pPr>
              <w:jc w:val="both"/>
              <w:rPr>
                <w:lang w:val="fi-FI"/>
              </w:rPr>
            </w:pPr>
            <w:r>
              <w:rPr>
                <w:lang w:val="fi-FI"/>
              </w:rPr>
              <w:t xml:space="preserve">Mikäli kyseisen pykälän nojalla on tarkoitus mahdollistaa myös </w:t>
            </w:r>
            <w:r>
              <w:rPr>
                <w:lang w:val="fi-FI"/>
              </w:rPr>
              <w:lastRenderedPageBreak/>
              <w:t>valvonnassa saatujen henkilötietojen luovuttaminen, tulee tästä säätää selkeästi.</w:t>
            </w:r>
          </w:p>
        </w:tc>
        <w:tc>
          <w:tcPr>
            <w:tcW w:w="5811" w:type="dxa"/>
            <w:tcBorders>
              <w:top w:val="single" w:sz="4" w:space="0" w:color="auto"/>
              <w:left w:val="single" w:sz="4" w:space="0" w:color="auto"/>
              <w:bottom w:val="single" w:sz="4" w:space="0" w:color="auto"/>
              <w:right w:val="single" w:sz="4" w:space="0" w:color="auto"/>
            </w:tcBorders>
          </w:tcPr>
          <w:p w:rsidR="00265A1D" w:rsidRPr="00AB72DE" w:rsidRDefault="005553BA" w:rsidP="005553BA">
            <w:pPr>
              <w:jc w:val="both"/>
              <w:rPr>
                <w:lang w:val="fi-FI"/>
              </w:rPr>
            </w:pPr>
            <w:r>
              <w:rPr>
                <w:lang w:val="fi-FI"/>
              </w:rPr>
              <w:lastRenderedPageBreak/>
              <w:t xml:space="preserve">Ehdotetun lain 142 §:n mukaan tietoja saadaan luovuttaa </w:t>
            </w:r>
            <w:r>
              <w:rPr>
                <w:lang w:val="fi-FI"/>
              </w:rPr>
              <w:lastRenderedPageBreak/>
              <w:t>”henkilökohtaisista oloista”, mutta osin epäselväksi jää, mitä tällaisella tiedolla tarkalleen ottaen tarkoitetaan. Henkilötiedon käsite on tätä määritelmää laajempi (vrt. henkilötietolain 3 § sekä 33 §).</w:t>
            </w:r>
          </w:p>
        </w:tc>
      </w:tr>
      <w:tr w:rsidR="00265A1D" w:rsidRPr="00AB72DE" w:rsidTr="000D5632">
        <w:tblPrEx>
          <w:tblCellMar>
            <w:left w:w="107" w:type="dxa"/>
            <w:right w:w="107" w:type="dxa"/>
          </w:tblCellMar>
        </w:tblPrEx>
        <w:tc>
          <w:tcPr>
            <w:tcW w:w="1244"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c>
          <w:tcPr>
            <w:tcW w:w="1308"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c>
          <w:tcPr>
            <w:tcW w:w="6521"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c>
          <w:tcPr>
            <w:tcW w:w="5811" w:type="dxa"/>
            <w:tcBorders>
              <w:top w:val="single" w:sz="4" w:space="0" w:color="auto"/>
              <w:left w:val="single" w:sz="4" w:space="0" w:color="auto"/>
              <w:bottom w:val="single" w:sz="4" w:space="0" w:color="auto"/>
              <w:right w:val="single" w:sz="4" w:space="0" w:color="auto"/>
            </w:tcBorders>
          </w:tcPr>
          <w:p w:rsidR="00265A1D" w:rsidRPr="00AB72DE" w:rsidRDefault="00265A1D" w:rsidP="00265A1D">
            <w:pPr>
              <w:jc w:val="both"/>
              <w:rPr>
                <w:lang w:val="fi-FI"/>
              </w:rPr>
            </w:pPr>
          </w:p>
        </w:tc>
      </w:tr>
    </w:tbl>
    <w:p w:rsidR="00A200BF" w:rsidRPr="00AB72DE" w:rsidRDefault="00A200BF">
      <w:pPr>
        <w:jc w:val="both"/>
        <w:rPr>
          <w:lang w:val="fi-FI"/>
        </w:rPr>
      </w:pPr>
    </w:p>
    <w:sectPr w:rsidR="00A200BF" w:rsidRPr="00AB72DE">
      <w:pgSz w:w="16840" w:h="11907" w:orient="landscape"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6"/>
    <w:rsid w:val="000134E4"/>
    <w:rsid w:val="0003320A"/>
    <w:rsid w:val="0008187B"/>
    <w:rsid w:val="000D5632"/>
    <w:rsid w:val="000D696C"/>
    <w:rsid w:val="001741D6"/>
    <w:rsid w:val="00265A1D"/>
    <w:rsid w:val="002E73D5"/>
    <w:rsid w:val="00372EF0"/>
    <w:rsid w:val="00377AB2"/>
    <w:rsid w:val="004B650A"/>
    <w:rsid w:val="004E0BF0"/>
    <w:rsid w:val="005553BA"/>
    <w:rsid w:val="00560B50"/>
    <w:rsid w:val="005D605E"/>
    <w:rsid w:val="0070535E"/>
    <w:rsid w:val="00710BC3"/>
    <w:rsid w:val="00731DC2"/>
    <w:rsid w:val="00814E65"/>
    <w:rsid w:val="0082161C"/>
    <w:rsid w:val="00833B31"/>
    <w:rsid w:val="00872F0B"/>
    <w:rsid w:val="008C50AB"/>
    <w:rsid w:val="0090292E"/>
    <w:rsid w:val="00995F45"/>
    <w:rsid w:val="009B7156"/>
    <w:rsid w:val="009E0617"/>
    <w:rsid w:val="00A200BF"/>
    <w:rsid w:val="00A26F43"/>
    <w:rsid w:val="00A77A31"/>
    <w:rsid w:val="00A8273A"/>
    <w:rsid w:val="00AB72DE"/>
    <w:rsid w:val="00B961D9"/>
    <w:rsid w:val="00CA0C7A"/>
    <w:rsid w:val="00CC5251"/>
    <w:rsid w:val="00E27A79"/>
    <w:rsid w:val="00ED430D"/>
    <w:rsid w:val="00EF645A"/>
    <w:rsid w:val="00FC21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73D1C"/>
  <w15:docId w15:val="{D5E06B92-124E-49AD-B2C0-AD8EAC54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pPr>
      <w:overflowPunct w:val="0"/>
      <w:autoSpaceDE w:val="0"/>
      <w:autoSpaceDN w:val="0"/>
      <w:adjustRightInd w:val="0"/>
      <w:textAlignment w:val="baseline"/>
    </w:pPr>
    <w:rPr>
      <w:sz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semiHidden/>
    <w:rsid w:val="00372EF0"/>
    <w:pPr>
      <w:spacing w:after="120" w:line="260" w:lineRule="atLeast"/>
      <w:jc w:val="both"/>
    </w:pPr>
    <w:rPr>
      <w:sz w:val="24"/>
      <w:lang w:eastAsia="en-US"/>
    </w:rPr>
  </w:style>
  <w:style w:type="character" w:customStyle="1" w:styleId="LeiptekstiChar">
    <w:name w:val="Leipäteksti Char"/>
    <w:link w:val="Leipteksti"/>
    <w:semiHidden/>
    <w:rsid w:val="00372EF0"/>
    <w:rPr>
      <w:sz w:val="24"/>
      <w:lang w:eastAsia="en-US" w:bidi="ar-SA"/>
    </w:rPr>
  </w:style>
  <w:style w:type="paragraph" w:styleId="Seliteteksti">
    <w:name w:val="Balloon Text"/>
    <w:basedOn w:val="Normaali"/>
    <w:link w:val="SelitetekstiChar"/>
    <w:uiPriority w:val="99"/>
    <w:semiHidden/>
    <w:unhideWhenUsed/>
    <w:rsid w:val="00710BC3"/>
    <w:rPr>
      <w:rFonts w:ascii="Tahoma" w:hAnsi="Tahoma" w:cs="Tahoma"/>
      <w:sz w:val="16"/>
      <w:szCs w:val="16"/>
    </w:rPr>
  </w:style>
  <w:style w:type="character" w:customStyle="1" w:styleId="SelitetekstiChar">
    <w:name w:val="Seliteteksti Char"/>
    <w:basedOn w:val="Kappaleenoletusfontti"/>
    <w:link w:val="Seliteteksti"/>
    <w:uiPriority w:val="99"/>
    <w:semiHidden/>
    <w:rsid w:val="00710BC3"/>
    <w:rPr>
      <w:rFonts w:ascii="Tahoma" w:hAnsi="Tahoma" w:cs="Tahoma"/>
      <w:sz w:val="16"/>
      <w:szCs w:val="16"/>
      <w:lang w:val="en-US" w:eastAsia="en-US"/>
    </w:rPr>
  </w:style>
  <w:style w:type="character" w:styleId="Korostus">
    <w:name w:val="Emphasis"/>
    <w:basedOn w:val="Kappaleenoletusfontti"/>
    <w:uiPriority w:val="20"/>
    <w:qFormat/>
    <w:rsid w:val="00A26F43"/>
    <w:rPr>
      <w:i/>
      <w:iCs/>
    </w:rPr>
  </w:style>
  <w:style w:type="character" w:styleId="Hyperlinkki">
    <w:name w:val="Hyperlink"/>
    <w:basedOn w:val="Kappaleenoletusfontti"/>
    <w:uiPriority w:val="99"/>
    <w:unhideWhenUsed/>
    <w:rsid w:val="00CA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tosuoja.fi/fi/index/ratkaisut/henkilotietojenpoistaminenviranomaistenhenkilorekistereistajatietojenarkistoin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952</Words>
  <Characters>7719</Characters>
  <Application>Microsoft Office Word</Application>
  <DocSecurity>0</DocSecurity>
  <Lines>64</Lines>
  <Paragraphs>17</Paragraphs>
  <ScaleCrop>false</ScaleCrop>
  <HeadingPairs>
    <vt:vector size="6" baseType="variant">
      <vt:variant>
        <vt:lpstr>Otsikko</vt:lpstr>
      </vt:variant>
      <vt:variant>
        <vt:i4>1</vt:i4>
      </vt:variant>
      <vt:variant>
        <vt:lpstr>Title</vt:lpstr>
      </vt:variant>
      <vt:variant>
        <vt:i4>1</vt:i4>
      </vt:variant>
      <vt:variant>
        <vt:lpstr>Safety Standards Series: Title</vt:lpstr>
      </vt:variant>
      <vt:variant>
        <vt:i4>0</vt:i4>
      </vt:variant>
    </vt:vector>
  </HeadingPairs>
  <TitlesOfParts>
    <vt:vector size="2" baseType="lpstr">
      <vt:lpstr>Safety Standards Series: Title</vt:lpstr>
      <vt:lpstr>Safety Standards Series: Title</vt:lpstr>
    </vt:vector>
  </TitlesOfParts>
  <Company>IAEA</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Standards Series: Title</dc:title>
  <dc:creator>Mason</dc:creator>
  <cp:lastModifiedBy>Leivonen Raisa</cp:lastModifiedBy>
  <cp:revision>4</cp:revision>
  <cp:lastPrinted>2017-01-13T12:30:00Z</cp:lastPrinted>
  <dcterms:created xsi:type="dcterms:W3CDTF">2016-11-25T08:26:00Z</dcterms:created>
  <dcterms:modified xsi:type="dcterms:W3CDTF">2017-01-13T12:44:00Z</dcterms:modified>
</cp:coreProperties>
</file>