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A1BF2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Pakolaisneuvonta ry</w:t>
      </w:r>
    </w:p>
    <w:p w:rsidR="00A77B3E" w:rsidRDefault="00786AB0">
      <w:pPr>
        <w:rPr>
          <w:rFonts w:ascii="Calibri" w:eastAsia="Calibri" w:hAnsi="Calibri" w:cs="Calibri"/>
          <w:color w:val="000000"/>
        </w:rPr>
      </w:pPr>
    </w:p>
    <w:p w:rsidR="00A77B3E" w:rsidRDefault="004A1BF2" w:rsidP="00BC4C77">
      <w:pPr>
        <w:spacing w:after="200"/>
        <w:ind w:left="2160"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6E76D3" w:rsidP="00BC4C77">
      <w:pPr>
        <w:spacing w:after="200"/>
        <w:ind w:left="2160"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16</w:t>
      </w:r>
      <w:r w:rsidR="00550786">
        <w:rPr>
          <w:rFonts w:ascii="Calibri" w:eastAsia="Calibri" w:hAnsi="Calibri" w:cs="Calibri"/>
          <w:color w:val="000000"/>
        </w:rPr>
        <w:t>.06</w:t>
      </w:r>
      <w:r w:rsidR="004A1BF2">
        <w:rPr>
          <w:rFonts w:ascii="Calibri" w:eastAsia="Calibri" w:hAnsi="Calibri" w:cs="Calibri"/>
          <w:color w:val="000000"/>
        </w:rPr>
        <w:t>.2017</w:t>
      </w:r>
      <w:r w:rsidR="004A1BF2">
        <w:rPr>
          <w:rFonts w:ascii="Calibri" w:eastAsia="Calibri" w:hAnsi="Calibri" w:cs="Calibri"/>
          <w:color w:val="000000"/>
        </w:rPr>
        <w:tab/>
      </w:r>
      <w:r w:rsidR="004A1BF2">
        <w:rPr>
          <w:rFonts w:ascii="Calibri" w:eastAsia="Calibri" w:hAnsi="Calibri" w:cs="Calibri"/>
          <w:color w:val="000000"/>
        </w:rPr>
        <w:tab/>
      </w:r>
      <w:r w:rsidR="004A1BF2">
        <w:rPr>
          <w:rFonts w:ascii="Calibri" w:eastAsia="Calibri" w:hAnsi="Calibri" w:cs="Calibri"/>
          <w:color w:val="000000"/>
        </w:rPr>
        <w:tab/>
      </w:r>
    </w:p>
    <w:p w:rsidR="00A77B3E" w:rsidRDefault="00786AB0">
      <w:pPr>
        <w:rPr>
          <w:rFonts w:ascii="Calibri" w:eastAsia="Calibri" w:hAnsi="Calibri" w:cs="Calibri"/>
          <w:color w:val="000000"/>
        </w:rPr>
      </w:pPr>
    </w:p>
    <w:p w:rsidR="00A77B3E" w:rsidRDefault="00786AB0">
      <w:pPr>
        <w:rPr>
          <w:rFonts w:ascii="Calibri" w:eastAsia="Calibri" w:hAnsi="Calibri" w:cs="Calibri"/>
          <w:color w:val="000000"/>
        </w:rPr>
      </w:pPr>
    </w:p>
    <w:p w:rsidR="00A77B3E" w:rsidRPr="00550786" w:rsidRDefault="00550786">
      <w:pPr>
        <w:rPr>
          <w:rFonts w:asciiTheme="minorHAnsi" w:eastAsia="Calibri" w:hAnsiTheme="minorHAnsi" w:cs="Calibri"/>
          <w:color w:val="000000"/>
        </w:rPr>
      </w:pPr>
      <w:proofErr w:type="gramStart"/>
      <w:r w:rsidRPr="00550786">
        <w:rPr>
          <w:rFonts w:asciiTheme="minorHAnsi" w:eastAsia="Calibri" w:hAnsiTheme="minorHAnsi" w:cs="Calibri"/>
          <w:color w:val="000000"/>
        </w:rPr>
        <w:t xml:space="preserve">Asia:  </w:t>
      </w:r>
      <w:r w:rsidRPr="00550786">
        <w:rPr>
          <w:rFonts w:asciiTheme="minorHAnsi" w:hAnsiTheme="minorHAnsi"/>
        </w:rPr>
        <w:t>OM</w:t>
      </w:r>
      <w:proofErr w:type="gramEnd"/>
      <w:r w:rsidRPr="00550786">
        <w:rPr>
          <w:rFonts w:asciiTheme="minorHAnsi" w:hAnsiTheme="minorHAnsi"/>
        </w:rPr>
        <w:t xml:space="preserve"> 17/41/2015</w:t>
      </w:r>
    </w:p>
    <w:p w:rsidR="00A77B3E" w:rsidRPr="00550786" w:rsidRDefault="00786AB0">
      <w:pPr>
        <w:rPr>
          <w:rFonts w:asciiTheme="minorHAnsi" w:eastAsia="Calibri" w:hAnsiTheme="minorHAnsi" w:cs="Calibri"/>
          <w:color w:val="000000"/>
        </w:rPr>
      </w:pPr>
    </w:p>
    <w:p w:rsidR="00550786" w:rsidRPr="00E334D9" w:rsidRDefault="004A1BF2" w:rsidP="00550786">
      <w:pPr>
        <w:pStyle w:val="Otsikko2"/>
        <w:rPr>
          <w:rFonts w:asciiTheme="minorHAnsi" w:hAnsiTheme="minorHAnsi"/>
          <w:sz w:val="28"/>
          <w:szCs w:val="28"/>
        </w:rPr>
      </w:pPr>
      <w:r w:rsidRPr="00E334D9">
        <w:rPr>
          <w:rFonts w:asciiTheme="minorHAnsi" w:eastAsia="Calibri" w:hAnsiTheme="minorHAnsi" w:cs="Calibri"/>
          <w:color w:val="000000"/>
          <w:sz w:val="28"/>
          <w:szCs w:val="28"/>
        </w:rPr>
        <w:t xml:space="preserve">Luonnos </w:t>
      </w:r>
      <w:r w:rsidR="00550786" w:rsidRPr="00E334D9">
        <w:rPr>
          <w:rFonts w:asciiTheme="minorHAnsi" w:hAnsiTheme="minorHAnsi"/>
          <w:sz w:val="28"/>
          <w:szCs w:val="28"/>
        </w:rPr>
        <w:t>hallituksen esitykseksi laiksi oikeudenkäynnistä hallintoasioissa ja eräiksi siihen liittyviksi laeiksi</w:t>
      </w:r>
    </w:p>
    <w:p w:rsidR="00673AD6" w:rsidRDefault="00673AD6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Pr="00E334D9" w:rsidRDefault="00550786" w:rsidP="007D585D">
      <w:pPr>
        <w:spacing w:before="200" w:after="200"/>
        <w:rPr>
          <w:rFonts w:ascii="Calibri" w:eastAsia="Calibri" w:hAnsi="Calibri" w:cs="Calibri"/>
          <w:color w:val="000000"/>
          <w:sz w:val="28"/>
          <w:szCs w:val="28"/>
        </w:rPr>
      </w:pPr>
      <w:r w:rsidRPr="00E334D9">
        <w:rPr>
          <w:rFonts w:ascii="Calibri" w:eastAsia="Calibri" w:hAnsi="Calibri" w:cs="Calibri"/>
          <w:color w:val="000000"/>
          <w:sz w:val="28"/>
          <w:szCs w:val="28"/>
        </w:rPr>
        <w:t>Yleisiä huomioita</w:t>
      </w:r>
    </w:p>
    <w:p w:rsidR="00840CE8" w:rsidRDefault="00505B68" w:rsidP="007D585D">
      <w:pPr>
        <w:rPr>
          <w:rFonts w:asciiTheme="minorHAnsi" w:hAnsiTheme="minorHAnsi"/>
        </w:rPr>
      </w:pPr>
      <w:r>
        <w:rPr>
          <w:rFonts w:asciiTheme="minorHAnsi" w:hAnsiTheme="minorHAnsi"/>
        </w:rPr>
        <w:t>Yleisesti ottaen luonnos</w:t>
      </w:r>
      <w:r w:rsidR="00B0190A">
        <w:rPr>
          <w:rFonts w:asciiTheme="minorHAnsi" w:hAnsiTheme="minorHAnsi"/>
        </w:rPr>
        <w:t xml:space="preserve"> ja esitetty lainmuutos</w:t>
      </w:r>
      <w:r>
        <w:rPr>
          <w:rFonts w:asciiTheme="minorHAnsi" w:hAnsiTheme="minorHAnsi"/>
        </w:rPr>
        <w:t xml:space="preserve"> on hyvin valmisteltu ja perusteltu.</w:t>
      </w:r>
      <w:r w:rsidR="00840CE8">
        <w:rPr>
          <w:rFonts w:asciiTheme="minorHAnsi" w:hAnsiTheme="minorHAnsi"/>
        </w:rPr>
        <w:t xml:space="preserve"> </w:t>
      </w:r>
    </w:p>
    <w:p w:rsidR="00840CE8" w:rsidRDefault="00840CE8" w:rsidP="007D585D">
      <w:pPr>
        <w:rPr>
          <w:rFonts w:asciiTheme="minorHAnsi" w:hAnsiTheme="minorHAnsi"/>
        </w:rPr>
      </w:pPr>
    </w:p>
    <w:p w:rsidR="00505B68" w:rsidRPr="00D93EBB" w:rsidRDefault="00840CE8" w:rsidP="007D585D">
      <w:pPr>
        <w:rPr>
          <w:rFonts w:asciiTheme="minorHAnsi" w:hAnsiTheme="minorHAnsi"/>
        </w:rPr>
      </w:pPr>
      <w:r>
        <w:rPr>
          <w:rFonts w:asciiTheme="minorHAnsi" w:hAnsiTheme="minorHAnsi"/>
        </w:rPr>
        <w:t>Pakolaisneuvonta pitää kannatettavana uuden lain säätämistä, jossa oikeudenkäynnistä hallintoasioissa säädettäisiin nykyistä täsmällisemmin ja informatiivisemmin</w:t>
      </w:r>
      <w:r w:rsidR="00E334D9">
        <w:rPr>
          <w:rFonts w:asciiTheme="minorHAnsi" w:hAnsiTheme="minorHAnsi"/>
        </w:rPr>
        <w:t xml:space="preserve"> hallintotuomioistuinten menettelytapojen yhdenmukaistamiseksi ja oikeudenmukaisen oikeudenkäynnin turvaamiseksi hallintotuomioistuimissa</w:t>
      </w:r>
      <w:r>
        <w:rPr>
          <w:rFonts w:asciiTheme="minorHAnsi" w:hAnsiTheme="minorHAnsi"/>
        </w:rPr>
        <w:t>. Pakolaisneuvonnan lakimiesten käytännön työssä ja ulkomaalaisasioita koskevien valit</w:t>
      </w:r>
      <w:r w:rsidR="00E334D9">
        <w:rPr>
          <w:rFonts w:asciiTheme="minorHAnsi" w:hAnsiTheme="minorHAnsi"/>
        </w:rPr>
        <w:t>usasioiden hoitamisessa on korostunut</w:t>
      </w:r>
      <w:r w:rsidR="00717478">
        <w:rPr>
          <w:rFonts w:asciiTheme="minorHAnsi" w:hAnsiTheme="minorHAnsi"/>
        </w:rPr>
        <w:t xml:space="preserve"> menettelysäännösten </w:t>
      </w:r>
      <w:r w:rsidR="00E334D9">
        <w:rPr>
          <w:rFonts w:asciiTheme="minorHAnsi" w:hAnsiTheme="minorHAnsi"/>
        </w:rPr>
        <w:t xml:space="preserve">vaihteleva </w:t>
      </w:r>
      <w:r>
        <w:rPr>
          <w:rFonts w:asciiTheme="minorHAnsi" w:hAnsiTheme="minorHAnsi"/>
        </w:rPr>
        <w:t xml:space="preserve">soveltaminen </w:t>
      </w:r>
      <w:r w:rsidR="00E334D9">
        <w:rPr>
          <w:rFonts w:asciiTheme="minorHAnsi" w:hAnsiTheme="minorHAnsi"/>
        </w:rPr>
        <w:t xml:space="preserve">eri hallinto-tuomioistuimissa ja samassakin tuomioistuimessa eri </w:t>
      </w:r>
      <w:r w:rsidR="00E334D9" w:rsidRPr="00D93EBB">
        <w:rPr>
          <w:rFonts w:asciiTheme="minorHAnsi" w:hAnsiTheme="minorHAnsi"/>
        </w:rPr>
        <w:t>ratkaisukokoonpanoissa.</w:t>
      </w:r>
      <w:r w:rsidR="00B0190A" w:rsidRPr="00D93EBB">
        <w:rPr>
          <w:rFonts w:asciiTheme="minorHAnsi" w:hAnsiTheme="minorHAnsi"/>
        </w:rPr>
        <w:t xml:space="preserve"> </w:t>
      </w:r>
      <w:r w:rsidR="00D93EBB" w:rsidRPr="00D93EBB">
        <w:rPr>
          <w:rFonts w:asciiTheme="minorHAnsi" w:hAnsiTheme="minorHAnsi"/>
        </w:rPr>
        <w:t>Esity</w:t>
      </w:r>
      <w:r w:rsidR="00D93EBB">
        <w:rPr>
          <w:rFonts w:asciiTheme="minorHAnsi" w:hAnsiTheme="minorHAnsi"/>
        </w:rPr>
        <w:t xml:space="preserve">s olisi omiaan parantamaan </w:t>
      </w:r>
      <w:r w:rsidR="00D93EBB" w:rsidRPr="00D93EBB">
        <w:rPr>
          <w:rFonts w:asciiTheme="minorHAnsi" w:hAnsiTheme="minorHAnsi"/>
        </w:rPr>
        <w:t xml:space="preserve">hallintotuomioistuinten menettelytapojen ennakoitavuutta. </w:t>
      </w:r>
    </w:p>
    <w:p w:rsidR="00505B68" w:rsidRDefault="00505B68" w:rsidP="007D585D">
      <w:pPr>
        <w:rPr>
          <w:rFonts w:asciiTheme="minorHAnsi" w:hAnsiTheme="minorHAnsi"/>
        </w:rPr>
      </w:pPr>
    </w:p>
    <w:p w:rsidR="00BC4C77" w:rsidRDefault="007D585D" w:rsidP="007D58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Esityksen laajuuden takia </w:t>
      </w:r>
      <w:r w:rsidRPr="009F139C">
        <w:rPr>
          <w:rFonts w:asciiTheme="minorHAnsi" w:hAnsiTheme="minorHAnsi"/>
        </w:rPr>
        <w:t>Pakolaisneuvonta keskittyy lausunnossaan luonnoksen kohtiin, jotka liittyvät muutoksenhakuun ulkomaalaisasioissa</w:t>
      </w:r>
      <w:r w:rsidR="00505B68">
        <w:rPr>
          <w:rFonts w:asciiTheme="minorHAnsi" w:hAnsiTheme="minorHAnsi"/>
        </w:rPr>
        <w:t xml:space="preserve"> eli</w:t>
      </w:r>
      <w:r>
        <w:rPr>
          <w:rFonts w:asciiTheme="minorHAnsi" w:hAnsiTheme="minorHAnsi"/>
        </w:rPr>
        <w:t xml:space="preserve"> </w:t>
      </w:r>
      <w:r w:rsidRPr="009F139C">
        <w:rPr>
          <w:rFonts w:asciiTheme="minorHAnsi" w:hAnsiTheme="minorHAnsi"/>
        </w:rPr>
        <w:t>oikeusturvaan ja erityisesti tehokkaisiin oikeussuojak</w:t>
      </w:r>
      <w:r>
        <w:rPr>
          <w:rFonts w:asciiTheme="minorHAnsi" w:hAnsiTheme="minorHAnsi"/>
        </w:rPr>
        <w:t>einoihin valitusasioissa, joissa on kyse perustavanlaatuisista ihmisoikeuksista, kuten ehdottomista palautuskielloista, perhe-elämän suojasta ja lapsen edusta</w:t>
      </w:r>
      <w:r w:rsidR="00BC4C77">
        <w:rPr>
          <w:rFonts w:asciiTheme="minorHAnsi" w:hAnsiTheme="minorHAnsi"/>
        </w:rPr>
        <w:t>.</w:t>
      </w:r>
    </w:p>
    <w:p w:rsidR="00BC4C77" w:rsidRDefault="00BC4C77" w:rsidP="007D585D">
      <w:pPr>
        <w:rPr>
          <w:rFonts w:asciiTheme="minorHAnsi" w:hAnsiTheme="minorHAnsi"/>
        </w:rPr>
      </w:pPr>
    </w:p>
    <w:p w:rsidR="00BC4C77" w:rsidRDefault="00505B68" w:rsidP="007D585D">
      <w:pPr>
        <w:rPr>
          <w:rFonts w:asciiTheme="minorHAnsi" w:hAnsiTheme="minorHAnsi"/>
        </w:rPr>
      </w:pPr>
      <w:r>
        <w:rPr>
          <w:rFonts w:asciiTheme="minorHAnsi" w:hAnsiTheme="minorHAnsi"/>
        </w:rPr>
        <w:t>Pakolaisneuvonta katsoo</w:t>
      </w:r>
      <w:r w:rsidR="00615813">
        <w:rPr>
          <w:rFonts w:asciiTheme="minorHAnsi" w:hAnsiTheme="minorHAnsi"/>
        </w:rPr>
        <w:t xml:space="preserve">, että </w:t>
      </w:r>
      <w:r>
        <w:rPr>
          <w:rFonts w:asciiTheme="minorHAnsi" w:hAnsiTheme="minorHAnsi"/>
        </w:rPr>
        <w:t xml:space="preserve">ulkomaalaislakiin sisältyvät </w:t>
      </w:r>
      <w:r w:rsidR="00E334D9">
        <w:rPr>
          <w:rFonts w:asciiTheme="minorHAnsi" w:hAnsiTheme="minorHAnsi"/>
        </w:rPr>
        <w:t>oikeust</w:t>
      </w:r>
      <w:r w:rsidR="00615813">
        <w:rPr>
          <w:rFonts w:asciiTheme="minorHAnsi" w:hAnsiTheme="minorHAnsi"/>
        </w:rPr>
        <w:t>urvan kannalta keskeiset</w:t>
      </w:r>
      <w:r w:rsidR="00E334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erityissäännökset</w:t>
      </w:r>
      <w:r w:rsidR="00615813">
        <w:rPr>
          <w:rFonts w:asciiTheme="minorHAnsi" w:hAnsiTheme="minorHAnsi"/>
        </w:rPr>
        <w:t xml:space="preserve"> esimerkiksi valitusajan, valituslupaperusteiden ja käännyttämispäätöksen </w:t>
      </w:r>
      <w:proofErr w:type="spellStart"/>
      <w:r w:rsidR="00615813">
        <w:rPr>
          <w:rFonts w:asciiTheme="minorHAnsi" w:hAnsiTheme="minorHAnsi"/>
        </w:rPr>
        <w:t>täytäntöönpantavuuden</w:t>
      </w:r>
      <w:proofErr w:type="spellEnd"/>
      <w:r w:rsidR="00615813">
        <w:rPr>
          <w:rFonts w:asciiTheme="minorHAnsi" w:hAnsiTheme="minorHAnsi"/>
        </w:rPr>
        <w:t xml:space="preserve"> osalta</w:t>
      </w:r>
      <w:r>
        <w:rPr>
          <w:rFonts w:asciiTheme="minorHAnsi" w:hAnsiTheme="minorHAnsi"/>
        </w:rPr>
        <w:t xml:space="preserve"> </w:t>
      </w:r>
      <w:r w:rsidR="00615813">
        <w:rPr>
          <w:rFonts w:asciiTheme="minorHAnsi" w:hAnsiTheme="minorHAnsi"/>
        </w:rPr>
        <w:t xml:space="preserve">ja tuoreet kansainvälistä suojelua hakevien oikeusturvaa rajoittaneet lainmuutokset </w:t>
      </w:r>
      <w:r>
        <w:rPr>
          <w:rFonts w:asciiTheme="minorHAnsi" w:hAnsiTheme="minorHAnsi"/>
        </w:rPr>
        <w:t xml:space="preserve">tulisi arvioida kiireellisesti uudelleen luonnoksessa esitettyjen </w:t>
      </w:r>
      <w:r w:rsidR="00E334D9">
        <w:rPr>
          <w:rFonts w:asciiTheme="minorHAnsi" w:hAnsiTheme="minorHAnsi"/>
        </w:rPr>
        <w:t xml:space="preserve">oikeusvaltion </w:t>
      </w:r>
      <w:r>
        <w:rPr>
          <w:rFonts w:asciiTheme="minorHAnsi" w:hAnsiTheme="minorHAnsi"/>
        </w:rPr>
        <w:t xml:space="preserve">keskeisten periaatteiden </w:t>
      </w:r>
      <w:r w:rsidR="00840CE8">
        <w:rPr>
          <w:rFonts w:asciiTheme="minorHAnsi" w:hAnsiTheme="minorHAnsi"/>
        </w:rPr>
        <w:t xml:space="preserve">ja velvoitteiden </w:t>
      </w:r>
      <w:r>
        <w:rPr>
          <w:rFonts w:asciiTheme="minorHAnsi" w:hAnsiTheme="minorHAnsi"/>
        </w:rPr>
        <w:t xml:space="preserve">turvaamiseksi. </w:t>
      </w:r>
      <w:r w:rsidR="00E334D9">
        <w:rPr>
          <w:rFonts w:asciiTheme="minorHAnsi" w:hAnsiTheme="minorHAnsi"/>
        </w:rPr>
        <w:t xml:space="preserve"> </w:t>
      </w:r>
    </w:p>
    <w:p w:rsidR="00615813" w:rsidRDefault="00615813" w:rsidP="007D585D">
      <w:pPr>
        <w:rPr>
          <w:rFonts w:asciiTheme="minorHAnsi" w:hAnsiTheme="minorHAnsi"/>
        </w:rPr>
      </w:pPr>
    </w:p>
    <w:p w:rsidR="00BC4C77" w:rsidRDefault="00BC4C77" w:rsidP="00BC4C77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Seuraavassa Pakola</w:t>
      </w:r>
      <w:r w:rsidR="00E31D11">
        <w:rPr>
          <w:rFonts w:asciiTheme="minorHAnsi" w:hAnsiTheme="minorHAnsi"/>
        </w:rPr>
        <w:t xml:space="preserve">isneuvonnan lausunto </w:t>
      </w:r>
      <w:r w:rsidR="00C143FF">
        <w:rPr>
          <w:rFonts w:asciiTheme="minorHAnsi" w:hAnsiTheme="minorHAnsi"/>
        </w:rPr>
        <w:t xml:space="preserve">yksittäisten </w:t>
      </w:r>
      <w:r w:rsidR="00E31D11">
        <w:rPr>
          <w:rFonts w:asciiTheme="minorHAnsi" w:hAnsiTheme="minorHAnsi"/>
        </w:rPr>
        <w:t>säädösehdotusten osalta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Muilta osin emme tässä vaiheessa ota esitykseen kantaa. </w:t>
      </w:r>
    </w:p>
    <w:p w:rsidR="00BC4C77" w:rsidRDefault="00BC4C77" w:rsidP="007D585D">
      <w:pPr>
        <w:rPr>
          <w:rFonts w:asciiTheme="minorHAnsi" w:hAnsiTheme="minorHAnsi"/>
        </w:rPr>
      </w:pPr>
    </w:p>
    <w:p w:rsidR="007D585D" w:rsidRDefault="00A469CB" w:rsidP="007D585D">
      <w:pPr>
        <w:spacing w:before="200"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luku (Valitus hallintopäätöksestä)</w:t>
      </w:r>
    </w:p>
    <w:p w:rsidR="00CD35B4" w:rsidRPr="00CD35B4" w:rsidRDefault="00CD35B4" w:rsidP="007D585D">
      <w:pPr>
        <w:spacing w:before="200" w:after="200"/>
        <w:rPr>
          <w:rStyle w:val="Voimakas"/>
          <w:rFonts w:asciiTheme="minorHAnsi" w:hAnsiTheme="minorHAnsi"/>
        </w:rPr>
      </w:pPr>
      <w:r w:rsidRPr="00CD35B4">
        <w:rPr>
          <w:rStyle w:val="Voimakas"/>
          <w:rFonts w:asciiTheme="minorHAnsi" w:hAnsiTheme="minorHAnsi"/>
        </w:rPr>
        <w:t>Lakiin ehdotetaan uutta säännöstä asiakokonaisuuden yhdistämisestä hallinto-oikeudessa (6 §).</w:t>
      </w:r>
    </w:p>
    <w:p w:rsidR="00A469CB" w:rsidRDefault="00CD35B4" w:rsidP="00CD35B4">
      <w:pPr>
        <w:spacing w:before="200" w:after="200"/>
        <w:rPr>
          <w:rStyle w:val="Voimakas"/>
          <w:rFonts w:asciiTheme="minorHAnsi" w:hAnsiTheme="minorHAnsi"/>
          <w:b w:val="0"/>
        </w:rPr>
      </w:pPr>
      <w:r w:rsidRPr="00CD35B4">
        <w:rPr>
          <w:rStyle w:val="Voimakas"/>
          <w:rFonts w:asciiTheme="minorHAnsi" w:hAnsiTheme="minorHAnsi"/>
          <w:b w:val="0"/>
        </w:rPr>
        <w:t>Pakolaisneuvonta vastustaa ehdotu</w:t>
      </w:r>
      <w:r>
        <w:rPr>
          <w:rStyle w:val="Voimakas"/>
          <w:rFonts w:asciiTheme="minorHAnsi" w:hAnsiTheme="minorHAnsi"/>
          <w:b w:val="0"/>
        </w:rPr>
        <w:t xml:space="preserve">sta esitetyssä muodossa. Jatkovalmistelussa tulee vielä arvioida tulisiko edellytykseksi asettaa yksityisen asianosaisen suostumus ja esimerkiksi määräajoilla turvata se, ettei siirto aiheuta viivästystä asian käsittelylle. </w:t>
      </w:r>
    </w:p>
    <w:p w:rsidR="00CD35B4" w:rsidRDefault="00CD35B4" w:rsidP="00CD35B4">
      <w:pPr>
        <w:spacing w:before="200" w:after="200"/>
        <w:rPr>
          <w:rStyle w:val="Voimakas"/>
          <w:rFonts w:asciiTheme="minorHAnsi" w:hAnsiTheme="minorHAnsi"/>
          <w:b w:val="0"/>
        </w:rPr>
      </w:pPr>
    </w:p>
    <w:p w:rsidR="00CD35B4" w:rsidRPr="00CD35B4" w:rsidRDefault="00CD35B4" w:rsidP="00CD35B4">
      <w:pPr>
        <w:spacing w:before="200" w:after="200"/>
        <w:rPr>
          <w:rFonts w:ascii="Calibri" w:eastAsia="Calibri" w:hAnsi="Calibri" w:cs="Calibri"/>
          <w:color w:val="000000"/>
          <w:sz w:val="28"/>
          <w:szCs w:val="28"/>
        </w:rPr>
      </w:pPr>
      <w:r w:rsidRPr="00CD35B4">
        <w:rPr>
          <w:rStyle w:val="Voimakas"/>
          <w:rFonts w:asciiTheme="minorHAnsi" w:hAnsiTheme="minorHAnsi"/>
          <w:b w:val="0"/>
          <w:sz w:val="28"/>
          <w:szCs w:val="28"/>
        </w:rPr>
        <w:t>6 luku (Asian käsittely ja selvittäminen)</w:t>
      </w:r>
    </w:p>
    <w:p w:rsidR="00DF0A70" w:rsidRDefault="00DF0A70" w:rsidP="00DE03F4">
      <w:pPr>
        <w:spacing w:before="200" w:after="200"/>
        <w:rPr>
          <w:rFonts w:asciiTheme="minorHAnsi" w:hAnsiTheme="minorHAnsi"/>
        </w:rPr>
      </w:pPr>
      <w:r w:rsidRPr="00DF0A70">
        <w:rPr>
          <w:rFonts w:asciiTheme="minorHAnsi" w:eastAsia="Calibri" w:hAnsiTheme="minorHAnsi" w:cs="Calibri"/>
          <w:color w:val="000000"/>
        </w:rPr>
        <w:t>Pakolaisneuvonta kannattaa</w:t>
      </w:r>
      <w:r>
        <w:rPr>
          <w:rFonts w:asciiTheme="minorHAnsi" w:eastAsia="Calibri" w:hAnsiTheme="minorHAnsi" w:cs="Calibri"/>
          <w:color w:val="000000"/>
        </w:rPr>
        <w:t xml:space="preserve"> ja pitää tärkeänä </w:t>
      </w:r>
      <w:r w:rsidRPr="00DF0A70">
        <w:rPr>
          <w:rFonts w:asciiTheme="minorHAnsi" w:eastAsia="Calibri" w:hAnsiTheme="minorHAnsi" w:cs="Calibri"/>
          <w:color w:val="000000"/>
        </w:rPr>
        <w:t>sitä, että laintasolla korostetaan</w:t>
      </w:r>
      <w:r>
        <w:rPr>
          <w:rFonts w:asciiTheme="minorHAnsi" w:eastAsia="Calibri" w:hAnsiTheme="minorHAnsi" w:cs="Calibri"/>
          <w:color w:val="000000"/>
        </w:rPr>
        <w:t xml:space="preserve"> ja tehostetaan</w:t>
      </w:r>
      <w:r w:rsidRPr="00DF0A70">
        <w:rPr>
          <w:rFonts w:asciiTheme="minorHAnsi" w:eastAsia="Calibri" w:hAnsiTheme="minorHAnsi" w:cs="Calibri"/>
          <w:color w:val="000000"/>
        </w:rPr>
        <w:t xml:space="preserve"> hallintot</w:t>
      </w:r>
      <w:r w:rsidRPr="00DF0A70">
        <w:rPr>
          <w:rFonts w:asciiTheme="minorHAnsi" w:hAnsiTheme="minorHAnsi"/>
        </w:rPr>
        <w:t xml:space="preserve">uomioistuimen </w:t>
      </w:r>
      <w:r>
        <w:rPr>
          <w:rFonts w:asciiTheme="minorHAnsi" w:hAnsiTheme="minorHAnsi"/>
        </w:rPr>
        <w:t>prosessinjohtoa</w:t>
      </w:r>
      <w:r w:rsidRPr="00DF0A70">
        <w:rPr>
          <w:rFonts w:asciiTheme="minorHAnsi" w:hAnsiTheme="minorHAnsi"/>
        </w:rPr>
        <w:t>.</w:t>
      </w:r>
      <w:r w:rsidR="00DB287B">
        <w:rPr>
          <w:rFonts w:asciiTheme="minorHAnsi" w:hAnsiTheme="minorHAnsi"/>
        </w:rPr>
        <w:t xml:space="preserve"> </w:t>
      </w:r>
    </w:p>
    <w:p w:rsidR="00DB287B" w:rsidRPr="00DB287B" w:rsidRDefault="00DB287B" w:rsidP="00DB287B">
      <w:pPr>
        <w:pStyle w:val="HTML-esimuotoiltu"/>
        <w:rPr>
          <w:rFonts w:asciiTheme="minorHAnsi" w:hAnsiTheme="minorHAnsi"/>
          <w:sz w:val="24"/>
          <w:szCs w:val="24"/>
        </w:rPr>
      </w:pPr>
      <w:r w:rsidRPr="00DB287B">
        <w:rPr>
          <w:rFonts w:asciiTheme="minorHAnsi" w:hAnsiTheme="minorHAnsi"/>
          <w:sz w:val="24"/>
          <w:szCs w:val="24"/>
        </w:rPr>
        <w:t>Ehdotetun 3 §:ssä säädetyn asianosaisen totuusvelvollisuuden osalta tulisi huomioida että kyseessä on uusi säännös hallintovalitusasioissa, joten asiasta tulisi säätää selkeämmin myös huomioiden rikoslain 15 luvun 1 §:n kriminalisointi perättömästä lausumasta tuomioistuimessa.</w:t>
      </w:r>
    </w:p>
    <w:p w:rsidR="00DF0A70" w:rsidRDefault="00DF0A70" w:rsidP="00DE03F4">
      <w:pPr>
        <w:spacing w:before="200" w:after="200"/>
        <w:rPr>
          <w:rFonts w:asciiTheme="minorHAnsi" w:hAnsiTheme="minorHAnsi"/>
        </w:rPr>
      </w:pPr>
      <w:r>
        <w:rPr>
          <w:rFonts w:asciiTheme="minorHAnsi" w:hAnsiTheme="minorHAnsi"/>
        </w:rPr>
        <w:t>Luonnos sisältää todennäköisesti kirjoitusvirheen sen osalta, että 4 §:</w:t>
      </w:r>
      <w:proofErr w:type="spellStart"/>
      <w:r>
        <w:rPr>
          <w:rFonts w:asciiTheme="minorHAnsi" w:hAnsiTheme="minorHAnsi"/>
        </w:rPr>
        <w:t>sssä</w:t>
      </w:r>
      <w:proofErr w:type="spellEnd"/>
      <w:r>
        <w:rPr>
          <w:rFonts w:asciiTheme="minorHAnsi" w:hAnsiTheme="minorHAnsi"/>
        </w:rPr>
        <w:t xml:space="preserve"> viitataan 42 §:ään. </w:t>
      </w:r>
    </w:p>
    <w:p w:rsidR="00DF0A70" w:rsidRDefault="00DF0A70" w:rsidP="00DE03F4">
      <w:pPr>
        <w:spacing w:before="200" w:after="200"/>
        <w:rPr>
          <w:rStyle w:val="Voimakas"/>
          <w:i/>
        </w:rPr>
      </w:pPr>
      <w:r w:rsidRPr="00DF0A70">
        <w:rPr>
          <w:i/>
        </w:rPr>
        <w:t>Luvussa säädettäisiin päätöksen tehneen viranomaisen velvollisuudesta antaa tuomioistuimen pyynnöstä lausunto sakon uhalla (8 §).</w:t>
      </w:r>
      <w:r w:rsidRPr="00DF0A70">
        <w:rPr>
          <w:rStyle w:val="Voimakas"/>
          <w:i/>
        </w:rPr>
        <w:t xml:space="preserve"> Mitä mieltä olette ehdotuksesta?</w:t>
      </w:r>
    </w:p>
    <w:p w:rsidR="00DB287B" w:rsidRDefault="00B0190A" w:rsidP="00DE03F4">
      <w:pPr>
        <w:spacing w:before="200"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Pakolaisneuvonta kannattaa ehdotusta. </w:t>
      </w:r>
    </w:p>
    <w:p w:rsidR="00B0190A" w:rsidRPr="00B0190A" w:rsidRDefault="00B0190A" w:rsidP="00DE03F4">
      <w:pPr>
        <w:spacing w:before="200" w:after="200"/>
        <w:rPr>
          <w:rFonts w:asciiTheme="minorHAnsi" w:hAnsiTheme="minorHAnsi"/>
          <w:i/>
        </w:rPr>
      </w:pPr>
      <w:r w:rsidRPr="00B0190A">
        <w:rPr>
          <w:rStyle w:val="Voimakas"/>
          <w:i/>
        </w:rPr>
        <w:t>Säännös selvityksen rajoittamisesta olisi uusi (12 §).</w:t>
      </w:r>
    </w:p>
    <w:p w:rsidR="00A77B3E" w:rsidRPr="00717478" w:rsidRDefault="00717478" w:rsidP="00717478">
      <w:pPr>
        <w:pStyle w:val="HTML-esimuotoiltu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17478">
        <w:rPr>
          <w:rFonts w:asciiTheme="minorHAnsi" w:hAnsiTheme="minorHAnsi"/>
          <w:sz w:val="24"/>
          <w:szCs w:val="24"/>
        </w:rPr>
        <w:t xml:space="preserve">Mikäli säännös lisätään, niin on erityisen tärkeää, että selvityksen huomiotta jättäminen ei ole ehdoton, vaan luonnokseen kirjatulla tavoin hallinto-oikeuden harkinnassa oleva (”voi jättää sen huomioon ottamatta”). </w:t>
      </w:r>
    </w:p>
    <w:p w:rsidR="00A77B3E" w:rsidRPr="00BC4C77" w:rsidRDefault="00BC4C77">
      <w:pPr>
        <w:spacing w:before="200" w:after="200"/>
        <w:rPr>
          <w:rFonts w:ascii="Calibri" w:eastAsia="Calibri" w:hAnsi="Calibri" w:cs="Calibri"/>
          <w:i/>
          <w:color w:val="000000"/>
        </w:rPr>
      </w:pPr>
      <w:r w:rsidRPr="00BC4C77">
        <w:rPr>
          <w:rStyle w:val="Voimakas"/>
          <w:i/>
        </w:rPr>
        <w:t>Suullinen valmistelu (13 §)</w:t>
      </w:r>
    </w:p>
    <w:p w:rsidR="00A77B3E" w:rsidRDefault="00BC4C77" w:rsidP="00DE03F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Pakolaisneuvonta kannattaa esitystä. </w:t>
      </w:r>
    </w:p>
    <w:p w:rsidR="00A77B3E" w:rsidRDefault="00786AB0">
      <w:pPr>
        <w:rPr>
          <w:rFonts w:ascii="Calibri" w:eastAsia="Calibri" w:hAnsi="Calibri" w:cs="Calibri"/>
          <w:color w:val="000000"/>
        </w:rPr>
      </w:pPr>
    </w:p>
    <w:p w:rsidR="00BC4C77" w:rsidRDefault="00BC4C77">
      <w:pPr>
        <w:rPr>
          <w:rFonts w:ascii="Calibri" w:eastAsia="Calibri" w:hAnsi="Calibri" w:cs="Calibri"/>
          <w:color w:val="000000"/>
          <w:sz w:val="28"/>
          <w:szCs w:val="28"/>
        </w:rPr>
      </w:pPr>
      <w:r w:rsidRPr="00BC4C77">
        <w:rPr>
          <w:rFonts w:ascii="Calibri" w:eastAsia="Calibri" w:hAnsi="Calibri" w:cs="Calibri"/>
          <w:color w:val="000000"/>
          <w:sz w:val="28"/>
          <w:szCs w:val="28"/>
        </w:rPr>
        <w:t>7 luku (Suullinen käsittely)</w:t>
      </w:r>
    </w:p>
    <w:p w:rsidR="00BC4C77" w:rsidRDefault="00BC4C77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BC4C77" w:rsidRDefault="00BC4C77" w:rsidP="00BC4C77">
      <w:pPr>
        <w:rPr>
          <w:rFonts w:asciiTheme="minorHAnsi" w:hAnsiTheme="minorHAnsi"/>
        </w:rPr>
      </w:pPr>
      <w:r w:rsidRPr="00BC4C77">
        <w:rPr>
          <w:rFonts w:asciiTheme="minorHAnsi" w:hAnsiTheme="minorHAnsi"/>
        </w:rPr>
        <w:t xml:space="preserve">Pakolaisneuvonta kannattaa esitystä suullisen käsittelyn osalta. Ehdotetut säännökset ovat </w:t>
      </w:r>
      <w:r w:rsidR="00EA7D9D">
        <w:rPr>
          <w:rFonts w:asciiTheme="minorHAnsi" w:hAnsiTheme="minorHAnsi"/>
        </w:rPr>
        <w:t xml:space="preserve">erittäin </w:t>
      </w:r>
      <w:r w:rsidRPr="00BC4C77">
        <w:rPr>
          <w:rFonts w:asciiTheme="minorHAnsi" w:hAnsiTheme="minorHAnsi"/>
        </w:rPr>
        <w:t>tarpeellisia ja hyvin perusteltuja</w:t>
      </w:r>
      <w:r>
        <w:rPr>
          <w:rFonts w:asciiTheme="minorHAnsi" w:hAnsiTheme="minorHAnsi"/>
        </w:rPr>
        <w:t xml:space="preserve">. </w:t>
      </w:r>
      <w:r w:rsidR="00EA7D9D">
        <w:rPr>
          <w:rFonts w:asciiTheme="minorHAnsi" w:hAnsiTheme="minorHAnsi"/>
        </w:rPr>
        <w:t xml:space="preserve"> </w:t>
      </w:r>
    </w:p>
    <w:p w:rsidR="00EA7D9D" w:rsidRDefault="00EA7D9D" w:rsidP="00BC4C77">
      <w:pPr>
        <w:rPr>
          <w:rFonts w:asciiTheme="minorHAnsi" w:hAnsiTheme="minorHAnsi"/>
        </w:rPr>
      </w:pPr>
    </w:p>
    <w:p w:rsidR="00EA7D9D" w:rsidRDefault="00EA7D9D" w:rsidP="00BC4C77">
      <w:pPr>
        <w:rPr>
          <w:rFonts w:asciiTheme="minorHAnsi" w:hAnsiTheme="minorHAnsi"/>
          <w:sz w:val="28"/>
          <w:szCs w:val="28"/>
        </w:rPr>
      </w:pPr>
      <w:r w:rsidRPr="00EA7D9D">
        <w:rPr>
          <w:rFonts w:asciiTheme="minorHAnsi" w:hAnsiTheme="minorHAnsi"/>
          <w:sz w:val="28"/>
          <w:szCs w:val="28"/>
        </w:rPr>
        <w:t>8 luku (Hallintotuomioistuimen päätöksenteko)</w:t>
      </w:r>
    </w:p>
    <w:p w:rsidR="00EA7D9D" w:rsidRDefault="00EA7D9D" w:rsidP="00BC4C77">
      <w:pPr>
        <w:rPr>
          <w:rFonts w:asciiTheme="minorHAnsi" w:hAnsiTheme="minorHAnsi"/>
          <w:sz w:val="28"/>
          <w:szCs w:val="28"/>
        </w:rPr>
      </w:pPr>
    </w:p>
    <w:p w:rsidR="00EA7D9D" w:rsidRDefault="00EA7D9D" w:rsidP="00BC4C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Luonnoksessa korostetaan lähtökohtaa, että päätös perustuu vain osapuolten esittämiin vaatimuksiin ja niiden perusteluihin. Pakolaisneuvonta katsoo, että tältä osin esitys on epäselvä ja osittain ristiriitainen viranomaisen selvittämisvelvollisuuden kanssa. </w:t>
      </w:r>
      <w:r w:rsidR="006F40BC">
        <w:rPr>
          <w:rFonts w:asciiTheme="minorHAnsi" w:hAnsiTheme="minorHAnsi"/>
        </w:rPr>
        <w:t>Laintasolla on turvattava</w:t>
      </w:r>
      <w:r>
        <w:rPr>
          <w:rFonts w:asciiTheme="minorHAnsi" w:hAnsiTheme="minorHAnsi"/>
        </w:rPr>
        <w:t>, että hallintotuomioistuin ottaa oma-aloitteisesti huom</w:t>
      </w:r>
      <w:r w:rsidR="00E31D11">
        <w:rPr>
          <w:rFonts w:asciiTheme="minorHAnsi" w:hAnsiTheme="minorHAnsi"/>
        </w:rPr>
        <w:t xml:space="preserve">ioon seikat, jotka virallisperiaatteen mukaan </w:t>
      </w:r>
      <w:r>
        <w:rPr>
          <w:rFonts w:asciiTheme="minorHAnsi" w:hAnsiTheme="minorHAnsi"/>
        </w:rPr>
        <w:t xml:space="preserve">kuuluvat viranomaisen selvittämisvelvollisuuden piiriin. </w:t>
      </w:r>
      <w:r w:rsidR="006F40BC">
        <w:rPr>
          <w:rFonts w:asciiTheme="minorHAnsi" w:hAnsiTheme="minorHAnsi"/>
        </w:rPr>
        <w:t>T</w:t>
      </w:r>
      <w:r w:rsidR="00D93EBB">
        <w:rPr>
          <w:rFonts w:asciiTheme="minorHAnsi" w:hAnsiTheme="minorHAnsi"/>
        </w:rPr>
        <w:t>uo</w:t>
      </w:r>
      <w:r w:rsidR="006F40BC">
        <w:rPr>
          <w:rFonts w:asciiTheme="minorHAnsi" w:hAnsiTheme="minorHAnsi"/>
        </w:rPr>
        <w:t xml:space="preserve">mioistuimen tulee aina </w:t>
      </w:r>
      <w:r w:rsidR="00D93EBB">
        <w:rPr>
          <w:rFonts w:asciiTheme="minorHAnsi" w:hAnsiTheme="minorHAnsi"/>
        </w:rPr>
        <w:t xml:space="preserve">oma-aloitteisesti </w:t>
      </w:r>
      <w:r w:rsidR="006F40BC">
        <w:rPr>
          <w:rFonts w:asciiTheme="minorHAnsi" w:hAnsiTheme="minorHAnsi"/>
        </w:rPr>
        <w:t xml:space="preserve">ottaa huomioon </w:t>
      </w:r>
      <w:r w:rsidR="00D93EBB">
        <w:rPr>
          <w:rFonts w:asciiTheme="minorHAnsi" w:hAnsiTheme="minorHAnsi"/>
        </w:rPr>
        <w:t>esimerkiksi lapsen etu ja päätöksen lapsivaikutukset</w:t>
      </w:r>
      <w:r>
        <w:rPr>
          <w:rFonts w:asciiTheme="minorHAnsi" w:hAnsiTheme="minorHAnsi"/>
        </w:rPr>
        <w:t xml:space="preserve"> YK:n lapsen oikeuksien yleissopimuksen ja EU:n perusoikeuskirjan mukaisesti. </w:t>
      </w:r>
    </w:p>
    <w:p w:rsidR="00C143FF" w:rsidRDefault="00C143FF" w:rsidP="00BC4C77">
      <w:pPr>
        <w:rPr>
          <w:rFonts w:asciiTheme="minorHAnsi" w:hAnsiTheme="minorHAnsi"/>
        </w:rPr>
      </w:pPr>
    </w:p>
    <w:p w:rsidR="00C143FF" w:rsidRPr="00C143FF" w:rsidRDefault="00C143FF" w:rsidP="00C143FF">
      <w:pPr>
        <w:rPr>
          <w:rFonts w:asciiTheme="minorHAnsi" w:hAnsiTheme="minorHAnsi"/>
        </w:rPr>
      </w:pPr>
      <w:r w:rsidRPr="00C143FF">
        <w:rPr>
          <w:rFonts w:asciiTheme="minorHAnsi" w:hAnsiTheme="minorHAnsi"/>
        </w:rPr>
        <w:t xml:space="preserve">Pakolaisneuvonta on tarkastellut lapsen edun arviointia ja perustelua hallinto-oikeuksien päätöksissä selvityksessään vuonna 2015 </w:t>
      </w:r>
      <w:hyperlink r:id="rId7" w:history="1">
        <w:r w:rsidRPr="00C143FF">
          <w:rPr>
            <w:rStyle w:val="Hyperlinkki"/>
            <w:rFonts w:asciiTheme="minorHAnsi" w:hAnsiTheme="minorHAnsi"/>
          </w:rPr>
          <w:t>http://www.pakolaisneuvonta.fi/index_html?lid=167&amp;lang=suo</w:t>
        </w:r>
      </w:hyperlink>
    </w:p>
    <w:p w:rsidR="00C143FF" w:rsidRPr="00C143FF" w:rsidRDefault="00C143FF" w:rsidP="00C143FF">
      <w:pPr>
        <w:rPr>
          <w:rFonts w:asciiTheme="minorHAnsi" w:hAnsiTheme="minorHAnsi"/>
        </w:rPr>
      </w:pPr>
      <w:r w:rsidRPr="00C143FF">
        <w:rPr>
          <w:rFonts w:asciiTheme="minorHAnsi" w:hAnsiTheme="minorHAnsi"/>
        </w:rPr>
        <w:t xml:space="preserve">Selvityksessä todettiin, että lapsen etu on jäänyt usein jopa kokonaan arvioimatta (reilusti yli puolet selvitystä varten läpikäydyistä 52 hallinto-oikeuden päätöksestä), vaikka sekä kansalliset lait että kansainväliset sopimukset velvoittavat siihen kaikissa lapsia koskevissa päätöksissä. </w:t>
      </w:r>
    </w:p>
    <w:p w:rsidR="00C143FF" w:rsidRPr="00C143FF" w:rsidRDefault="00C143FF" w:rsidP="00C143FF">
      <w:pPr>
        <w:rPr>
          <w:rFonts w:asciiTheme="minorHAnsi" w:hAnsiTheme="minorHAnsi"/>
        </w:rPr>
      </w:pPr>
    </w:p>
    <w:p w:rsidR="00C143FF" w:rsidRPr="00C143FF" w:rsidRDefault="00C143FF" w:rsidP="00C143FF">
      <w:pPr>
        <w:rPr>
          <w:rFonts w:asciiTheme="minorHAnsi" w:hAnsiTheme="minorHAnsi"/>
        </w:rPr>
      </w:pPr>
      <w:r w:rsidRPr="00C143FF">
        <w:rPr>
          <w:rFonts w:asciiTheme="minorHAnsi" w:hAnsiTheme="minorHAnsi"/>
        </w:rPr>
        <w:t>Päätöksen perusteluvelvollisuutta olisi hyvä täsmentää siten, että päätöksessä on esitettävä yksilölliset perustelut asian ratkaisemisen kannalta merkityksellisistä seikoista.</w:t>
      </w:r>
      <w:r w:rsidRPr="00C143FF">
        <w:rPr>
          <w:rFonts w:asciiTheme="minorHAnsi" w:hAnsiTheme="minorHAnsi"/>
        </w:rPr>
        <w:br/>
      </w:r>
    </w:p>
    <w:p w:rsidR="00C143FF" w:rsidRPr="00C143FF" w:rsidRDefault="00C143FF" w:rsidP="00C143FF">
      <w:pPr>
        <w:tabs>
          <w:tab w:val="left" w:pos="6810"/>
        </w:tabs>
        <w:rPr>
          <w:rFonts w:asciiTheme="minorHAnsi" w:hAnsiTheme="minorHAnsi"/>
        </w:rPr>
      </w:pPr>
      <w:r w:rsidRPr="00C143FF">
        <w:rPr>
          <w:rFonts w:asciiTheme="minorHAnsi" w:hAnsiTheme="minorHAnsi"/>
        </w:rPr>
        <w:lastRenderedPageBreak/>
        <w:t>Myös valitusluv</w:t>
      </w:r>
      <w:r>
        <w:rPr>
          <w:rFonts w:asciiTheme="minorHAnsi" w:hAnsiTheme="minorHAnsi"/>
        </w:rPr>
        <w:t>an osalta olisi tärkeä, että korkein hallinto-oikeus</w:t>
      </w:r>
      <w:r w:rsidRPr="00C143FF">
        <w:rPr>
          <w:rFonts w:asciiTheme="minorHAnsi" w:hAnsiTheme="minorHAnsi"/>
        </w:rPr>
        <w:t xml:space="preserve"> perustelisi päätökset valitusluvan myöntämättä jättämisen ja vähintään silloin kun valituslupa myönnetään. </w:t>
      </w:r>
    </w:p>
    <w:p w:rsidR="00BC4C77" w:rsidRPr="00C143FF" w:rsidRDefault="00BC4C77">
      <w:pPr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D93EBB" w:rsidRDefault="00D93EBB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12 luku (Valitus hallintotuomioistuimen päätöksestä)</w:t>
      </w:r>
    </w:p>
    <w:p w:rsidR="006F40BC" w:rsidRPr="00E31D11" w:rsidRDefault="006F40BC">
      <w:pPr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6F40BC" w:rsidRPr="00E31D11" w:rsidRDefault="006F40BC" w:rsidP="006F40BC">
      <w:pPr>
        <w:rPr>
          <w:rFonts w:asciiTheme="minorHAnsi" w:hAnsiTheme="minorHAnsi"/>
        </w:rPr>
      </w:pPr>
      <w:r w:rsidRPr="00E31D11">
        <w:rPr>
          <w:rFonts w:asciiTheme="minorHAnsi" w:hAnsiTheme="minorHAnsi"/>
        </w:rPr>
        <w:t xml:space="preserve">Luonnoksessa esitetty </w:t>
      </w:r>
      <w:r w:rsidR="00E235D1">
        <w:rPr>
          <w:rFonts w:asciiTheme="minorHAnsi" w:hAnsiTheme="minorHAnsi"/>
        </w:rPr>
        <w:t xml:space="preserve">tavoite </w:t>
      </w:r>
      <w:r w:rsidRPr="00E31D11">
        <w:rPr>
          <w:rFonts w:asciiTheme="minorHAnsi" w:hAnsiTheme="minorHAnsi"/>
        </w:rPr>
        <w:t>KHO:n muuttamisesta vain ennakkoratkaisutuomioistuimeksi ei ole</w:t>
      </w:r>
      <w:r w:rsidR="00E235D1">
        <w:rPr>
          <w:rFonts w:asciiTheme="minorHAnsi" w:hAnsiTheme="minorHAnsi"/>
        </w:rPr>
        <w:t xml:space="preserve"> näissä olosuhteissa</w:t>
      </w:r>
      <w:r w:rsidRPr="00E31D11">
        <w:rPr>
          <w:rFonts w:asciiTheme="minorHAnsi" w:hAnsiTheme="minorHAnsi"/>
        </w:rPr>
        <w:t xml:space="preserve"> kannatettavaa eikä mahdollista. Sinänsä </w:t>
      </w:r>
      <w:r w:rsidR="00E235D1">
        <w:rPr>
          <w:rFonts w:asciiTheme="minorHAnsi" w:hAnsiTheme="minorHAnsi"/>
        </w:rPr>
        <w:t xml:space="preserve">kannatettavaa on </w:t>
      </w:r>
      <w:r w:rsidRPr="00E31D11">
        <w:rPr>
          <w:rFonts w:asciiTheme="minorHAnsi" w:hAnsiTheme="minorHAnsi"/>
        </w:rPr>
        <w:t xml:space="preserve">luonnoksessa esitetty tavoite, että KHO:n linjaratkaisut ohjaisivat hallintoviranomaisten ja hallintotuomioistuinten ratkaisukäytäntöä nykyistä laajemmin, mikä voisi parantaa hallintoviranomaisten ratkaisukäytännön ja oikeuskäytännön yhtenäisyyttä sekä vähentäisi tarvetta muutoksenhakuun. Nykyiset valituslupaperusteet </w:t>
      </w:r>
      <w:r w:rsidR="00E235D1">
        <w:rPr>
          <w:rFonts w:asciiTheme="minorHAnsi" w:hAnsiTheme="minorHAnsi"/>
        </w:rPr>
        <w:t xml:space="preserve">varsinaisen linjaavan </w:t>
      </w:r>
      <w:r w:rsidRPr="00E31D11">
        <w:rPr>
          <w:rFonts w:asciiTheme="minorHAnsi" w:hAnsiTheme="minorHAnsi"/>
        </w:rPr>
        <w:t>ennakkopäätöksen lisäksi eli oikeuskäytännön yhtenäisyys</w:t>
      </w:r>
      <w:r w:rsidR="00E235D1">
        <w:rPr>
          <w:rFonts w:asciiTheme="minorHAnsi" w:hAnsiTheme="minorHAnsi"/>
        </w:rPr>
        <w:t>, ilmeinen virhe</w:t>
      </w:r>
      <w:r w:rsidRPr="00E31D11">
        <w:rPr>
          <w:rFonts w:asciiTheme="minorHAnsi" w:hAnsiTheme="minorHAnsi"/>
        </w:rPr>
        <w:t xml:space="preserve"> ja muu erityinen syy ovat edelleen oikeusturvan kannalta välttämättömiä.  Kuten luonnoksesta ilmenee, niin hallintotuomioistuinten käytännöt vaihtelevat suuresti, joten ennakkopäätösten lisäksi on turvattava hallinto-oikeuksien yläpuolella oleva instanssi, joka voi turvata oikeuskäytännön yhtenäisyyden, puuttua menettelyvirheisiin yksittäistapauksissa sekä estää myös yksittäistapauksissa Suomea sitovien ihmisoikeusvelvoitteiden kanssa ristiriitaiset päätökset. </w:t>
      </w:r>
    </w:p>
    <w:p w:rsidR="00D93EBB" w:rsidRDefault="00D93EBB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6F40BC" w:rsidRPr="006F40BC" w:rsidRDefault="006F40BC">
      <w:pPr>
        <w:rPr>
          <w:rFonts w:ascii="Calibri" w:eastAsia="Calibri" w:hAnsi="Calibri" w:cs="Calibri"/>
          <w:i/>
          <w:color w:val="000000"/>
          <w:sz w:val="28"/>
          <w:szCs w:val="28"/>
        </w:rPr>
      </w:pPr>
      <w:r w:rsidRPr="006F40BC">
        <w:rPr>
          <w:i/>
        </w:rPr>
        <w:t xml:space="preserve">Hallintopäätöksen tehneellä viranomaisella ei nykyisten yleissäännösten mukaan ole valitusoikeutta hallinto-oikeuden päätöksestä korkeimpaan hallinto-oikeuteen. Viranomaiselle ehdotetaan valitusoikeutta tilanteessa, jossa ensi asteen hallintotuomioistuin on kumonnut sen päätöksen tai muuttanut sitä (3 §). </w:t>
      </w:r>
      <w:r w:rsidRPr="006F40BC">
        <w:rPr>
          <w:rStyle w:val="Voimakas"/>
          <w:i/>
        </w:rPr>
        <w:t>Ehdotus päätöksen tehneen viranomaisen valitusoikeudesta poikkeaisi voimassa olevasta laista.</w:t>
      </w:r>
    </w:p>
    <w:p w:rsidR="006F40BC" w:rsidRDefault="006F40BC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D93EBB" w:rsidRPr="006F40BC" w:rsidRDefault="006F40BC">
      <w:pPr>
        <w:rPr>
          <w:rFonts w:asciiTheme="minorHAnsi" w:eastAsia="Calibri" w:hAnsiTheme="minorHAnsi" w:cs="Calibri"/>
          <w:color w:val="000000"/>
        </w:rPr>
      </w:pPr>
      <w:r w:rsidRPr="006F40BC">
        <w:rPr>
          <w:rFonts w:asciiTheme="minorHAnsi" w:eastAsia="Calibri" w:hAnsiTheme="minorHAnsi" w:cs="Calibri"/>
          <w:color w:val="000000"/>
        </w:rPr>
        <w:t>P</w:t>
      </w:r>
      <w:r w:rsidR="00E31D11">
        <w:rPr>
          <w:rFonts w:asciiTheme="minorHAnsi" w:eastAsia="Calibri" w:hAnsiTheme="minorHAnsi" w:cs="Calibri"/>
          <w:color w:val="000000"/>
        </w:rPr>
        <w:t>akolaisneuvonta vastustaa ehdo</w:t>
      </w:r>
      <w:r w:rsidRPr="006F40BC">
        <w:rPr>
          <w:rFonts w:asciiTheme="minorHAnsi" w:eastAsia="Calibri" w:hAnsiTheme="minorHAnsi" w:cs="Calibri"/>
          <w:color w:val="000000"/>
        </w:rPr>
        <w:t>tusta</w:t>
      </w:r>
      <w:r w:rsidR="00E31D11">
        <w:rPr>
          <w:rFonts w:asciiTheme="minorHAnsi" w:eastAsia="Calibri" w:hAnsiTheme="minorHAnsi" w:cs="Calibri"/>
          <w:color w:val="000000"/>
        </w:rPr>
        <w:t xml:space="preserve"> esitetyssä muodossa</w:t>
      </w:r>
      <w:r w:rsidRPr="006F40BC">
        <w:rPr>
          <w:rFonts w:asciiTheme="minorHAnsi" w:eastAsia="Calibri" w:hAnsiTheme="minorHAnsi" w:cs="Calibri"/>
          <w:color w:val="000000"/>
        </w:rPr>
        <w:t xml:space="preserve">. </w:t>
      </w:r>
      <w:r w:rsidRPr="006F40BC">
        <w:rPr>
          <w:rFonts w:asciiTheme="minorHAnsi" w:eastAsia="Calibri" w:hAnsiTheme="minorHAnsi" w:cs="Calibri"/>
          <w:color w:val="000000"/>
          <w:sz w:val="28"/>
          <w:szCs w:val="28"/>
        </w:rPr>
        <w:t>K</w:t>
      </w:r>
      <w:r w:rsidR="00D93EBB" w:rsidRPr="006F40BC">
        <w:rPr>
          <w:rFonts w:asciiTheme="minorHAnsi" w:hAnsiTheme="minorHAnsi"/>
        </w:rPr>
        <w:t xml:space="preserve">ansainvälistä suojelua koskevissa asioissa Maahanmuuttoviraston valitusoikeus on johtanut erityisesti yksityisen asianosaisen kannalta kohtuuttomaan menettelyjen ja epävarmuuden pitkittymiseen. </w:t>
      </w:r>
      <w:r w:rsidRPr="006F40BC">
        <w:rPr>
          <w:rFonts w:asciiTheme="minorHAnsi" w:hAnsiTheme="minorHAnsi"/>
        </w:rPr>
        <w:t xml:space="preserve">Viranomaisen valitusoikeus tulisi rajata </w:t>
      </w:r>
      <w:r w:rsidR="00E31D11">
        <w:rPr>
          <w:rFonts w:asciiTheme="minorHAnsi" w:hAnsiTheme="minorHAnsi"/>
        </w:rPr>
        <w:t xml:space="preserve">selkeämmin ja </w:t>
      </w:r>
      <w:r w:rsidRPr="006F40BC">
        <w:rPr>
          <w:rFonts w:asciiTheme="minorHAnsi" w:hAnsiTheme="minorHAnsi"/>
        </w:rPr>
        <w:t xml:space="preserve">tiukemmin koskemana tilanteita, joissa yleinen etu ja ennakkopäätöksen tarve sitä vaatii. </w:t>
      </w:r>
    </w:p>
    <w:p w:rsidR="00D93EBB" w:rsidRDefault="00D93EBB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E235D1" w:rsidRDefault="00E235D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14 luku (Päätöksen täytäntöönpano ja hallintotuomioistuimen väliaikaiset määräykset)</w:t>
      </w:r>
    </w:p>
    <w:p w:rsidR="00E235D1" w:rsidRDefault="00E235D1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025245" w:rsidRDefault="0002524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Pakolaisneuvonta pitää </w:t>
      </w:r>
      <w:r w:rsidR="00F924CA">
        <w:rPr>
          <w:rFonts w:ascii="Calibri" w:eastAsia="Calibri" w:hAnsi="Calibri" w:cs="Calibri"/>
          <w:color w:val="000000"/>
        </w:rPr>
        <w:t xml:space="preserve">tehokkaiden oikeussuojakeinojen todellisen turvaamisen kannalta </w:t>
      </w:r>
      <w:r>
        <w:rPr>
          <w:rFonts w:ascii="Calibri" w:eastAsia="Calibri" w:hAnsi="Calibri" w:cs="Calibri"/>
          <w:color w:val="000000"/>
        </w:rPr>
        <w:t xml:space="preserve">erittäin tärkeänä ja hyvänä </w:t>
      </w:r>
      <w:r w:rsidR="00F924CA">
        <w:rPr>
          <w:rFonts w:ascii="Calibri" w:eastAsia="Calibri" w:hAnsi="Calibri" w:cs="Calibri"/>
          <w:color w:val="000000"/>
        </w:rPr>
        <w:t>ehdotetun 1 §:n 3 momenttia.</w:t>
      </w:r>
      <w:r>
        <w:rPr>
          <w:rFonts w:ascii="Calibri" w:eastAsia="Calibri" w:hAnsi="Calibri" w:cs="Calibri"/>
          <w:color w:val="000000"/>
        </w:rPr>
        <w:t xml:space="preserve"> </w:t>
      </w:r>
      <w:r w:rsidR="00F924CA">
        <w:rPr>
          <w:rFonts w:ascii="Calibri" w:eastAsia="Calibri" w:hAnsi="Calibri" w:cs="Calibri"/>
          <w:color w:val="000000"/>
        </w:rPr>
        <w:t xml:space="preserve">On lisäksi olennaista turvata yksiselitteiset selkeät menettelyt sen turvaamiseksi, että valitettaessa korkeimpaan hallinto-oikeuteen, päätöstä ei saa </w:t>
      </w:r>
      <w:proofErr w:type="spellStart"/>
      <w:r w:rsidR="00F924CA">
        <w:rPr>
          <w:rFonts w:ascii="Calibri" w:eastAsia="Calibri" w:hAnsi="Calibri" w:cs="Calibri"/>
          <w:color w:val="000000"/>
        </w:rPr>
        <w:t>täytäntöönpanna</w:t>
      </w:r>
      <w:proofErr w:type="spellEnd"/>
      <w:r w:rsidR="00F924CA">
        <w:rPr>
          <w:rFonts w:ascii="Calibri" w:eastAsia="Calibri" w:hAnsi="Calibri" w:cs="Calibri"/>
          <w:color w:val="000000"/>
        </w:rPr>
        <w:t xml:space="preserve"> ennen kuin korkein hallinto-oikeus on käsitellyt asiassa esitetyn täytäntöönpanokieltohakemuksen.   </w:t>
      </w:r>
    </w:p>
    <w:p w:rsidR="00F924CA" w:rsidRDefault="00F924CA">
      <w:pPr>
        <w:rPr>
          <w:rFonts w:ascii="Calibri" w:eastAsia="Calibri" w:hAnsi="Calibri" w:cs="Calibri"/>
          <w:color w:val="000000"/>
        </w:rPr>
      </w:pPr>
    </w:p>
    <w:p w:rsidR="00E31D11" w:rsidRDefault="00F924CA">
      <w:pPr>
        <w:rPr>
          <w:rFonts w:asciiTheme="minorHAnsi" w:hAnsiTheme="minorHAnsi"/>
        </w:rPr>
      </w:pPr>
      <w:r>
        <w:rPr>
          <w:rFonts w:ascii="Calibri" w:eastAsia="Calibri" w:hAnsi="Calibri" w:cs="Calibri"/>
          <w:color w:val="000000"/>
        </w:rPr>
        <w:t xml:space="preserve">Esimerkiksi ulkomaalaislain 200 ja </w:t>
      </w:r>
      <w:proofErr w:type="gramStart"/>
      <w:r>
        <w:rPr>
          <w:rFonts w:ascii="Calibri" w:eastAsia="Calibri" w:hAnsi="Calibri" w:cs="Calibri"/>
          <w:color w:val="000000"/>
        </w:rPr>
        <w:t>201§ :</w:t>
      </w:r>
      <w:proofErr w:type="gramEnd"/>
      <w:r>
        <w:rPr>
          <w:rFonts w:ascii="Calibri" w:eastAsia="Calibri" w:hAnsi="Calibri" w:cs="Calibri"/>
          <w:color w:val="000000"/>
        </w:rPr>
        <w:t xml:space="preserve">iin sisältyvät erityissäädökset tulisi arvioida uudelleen. </w:t>
      </w:r>
      <w:r w:rsidR="000D1E59"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</w:rPr>
        <w:t>ans</w:t>
      </w:r>
      <w:r w:rsidR="000D1E59">
        <w:rPr>
          <w:rFonts w:ascii="Calibri" w:eastAsia="Calibri" w:hAnsi="Calibri" w:cs="Calibri"/>
          <w:color w:val="000000"/>
        </w:rPr>
        <w:t xml:space="preserve">ainvälistä suojelua koskevissa asioissa on kyse ehdottomien palautuskieltojen loukkaamisesta eli väärän kielteisen päätöksen täytäntöönpanon seuraamukset ovat korjaamattomia ja korvaamattomia. </w:t>
      </w:r>
      <w:r w:rsidR="00E235D1">
        <w:rPr>
          <w:rFonts w:ascii="Calibri" w:eastAsia="Calibri" w:hAnsi="Calibri" w:cs="Calibri"/>
          <w:color w:val="000000"/>
        </w:rPr>
        <w:t xml:space="preserve"> </w:t>
      </w:r>
      <w:r w:rsidR="000D1E59" w:rsidRPr="004B28A4">
        <w:rPr>
          <w:rFonts w:asciiTheme="minorHAnsi" w:hAnsiTheme="minorHAnsi"/>
        </w:rPr>
        <w:t>Kun on kyse siitä, että henkilö saattaa kotimaassaa</w:t>
      </w:r>
      <w:r>
        <w:rPr>
          <w:rFonts w:asciiTheme="minorHAnsi" w:hAnsiTheme="minorHAnsi"/>
        </w:rPr>
        <w:t xml:space="preserve">n joutua kidutetuksi tai muun </w:t>
      </w:r>
      <w:r w:rsidR="000D1E59" w:rsidRPr="004B28A4">
        <w:rPr>
          <w:rFonts w:asciiTheme="minorHAnsi" w:hAnsiTheme="minorHAnsi"/>
        </w:rPr>
        <w:t>vastais</w:t>
      </w:r>
      <w:r w:rsidR="00BE56B2">
        <w:rPr>
          <w:rFonts w:asciiTheme="minorHAnsi" w:hAnsiTheme="minorHAnsi"/>
        </w:rPr>
        <w:t xml:space="preserve">en kohtelun kohteeksi, käännytyksen täytäntöönpano tekee </w:t>
      </w:r>
      <w:r w:rsidR="000D1E59" w:rsidRPr="004B28A4">
        <w:rPr>
          <w:rFonts w:asciiTheme="minorHAnsi" w:hAnsiTheme="minorHAnsi"/>
        </w:rPr>
        <w:t xml:space="preserve">valituksen </w:t>
      </w:r>
      <w:r w:rsidR="00BE56B2">
        <w:rPr>
          <w:rFonts w:asciiTheme="minorHAnsi" w:hAnsiTheme="minorHAnsi"/>
        </w:rPr>
        <w:t xml:space="preserve">käytännössä </w:t>
      </w:r>
      <w:r w:rsidR="000D1E59" w:rsidRPr="004B28A4">
        <w:rPr>
          <w:rFonts w:asciiTheme="minorHAnsi" w:hAnsiTheme="minorHAnsi"/>
        </w:rPr>
        <w:t>merkityksettömäksi.</w:t>
      </w:r>
      <w:r w:rsidR="00025245">
        <w:rPr>
          <w:rFonts w:asciiTheme="minorHAnsi" w:hAnsiTheme="minorHAnsi"/>
        </w:rPr>
        <w:t xml:space="preserve"> </w:t>
      </w:r>
      <w:r w:rsidR="00BE56B2">
        <w:rPr>
          <w:rFonts w:asciiTheme="minorHAnsi" w:hAnsiTheme="minorHAnsi"/>
        </w:rPr>
        <w:t xml:space="preserve">Nykylaki ja </w:t>
      </w:r>
      <w:proofErr w:type="gramStart"/>
      <w:r w:rsidR="00BE56B2">
        <w:rPr>
          <w:rFonts w:asciiTheme="minorHAnsi" w:hAnsiTheme="minorHAnsi"/>
        </w:rPr>
        <w:t>–käytäntö</w:t>
      </w:r>
      <w:proofErr w:type="gramEnd"/>
      <w:r w:rsidR="00BE56B2">
        <w:rPr>
          <w:rFonts w:asciiTheme="minorHAnsi" w:hAnsiTheme="minorHAnsi"/>
        </w:rPr>
        <w:t xml:space="preserve"> on johtanut toistuvasti läheltä piti tilanteisiin ja myös tilanteisiin, että käännyttämispäätös on </w:t>
      </w:r>
      <w:proofErr w:type="spellStart"/>
      <w:r w:rsidR="00BE56B2">
        <w:rPr>
          <w:rFonts w:asciiTheme="minorHAnsi" w:hAnsiTheme="minorHAnsi"/>
        </w:rPr>
        <w:t>täytäntöönpantu</w:t>
      </w:r>
      <w:proofErr w:type="spellEnd"/>
      <w:r w:rsidR="00BE56B2">
        <w:rPr>
          <w:rFonts w:asciiTheme="minorHAnsi" w:hAnsiTheme="minorHAnsi"/>
        </w:rPr>
        <w:t xml:space="preserve"> ennen kuin täytäntöönpanokieltohakemus on käsitelty ja täytäntöönpano myös kielletty.</w:t>
      </w:r>
    </w:p>
    <w:p w:rsidR="00F924CA" w:rsidRDefault="00F924CA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D93EBB" w:rsidRPr="00BC4C77" w:rsidRDefault="00D93EBB">
      <w:pPr>
        <w:rPr>
          <w:rFonts w:ascii="Calibri" w:eastAsia="Calibri" w:hAnsi="Calibri" w:cs="Calibri"/>
          <w:color w:val="000000"/>
          <w:sz w:val="28"/>
          <w:szCs w:val="28"/>
        </w:rPr>
      </w:pPr>
    </w:p>
    <w:sectPr w:rsidR="00D93EBB" w:rsidRPr="00BC4C77">
      <w:footerReference w:type="default" r:id="rId8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CC" w:rsidRDefault="005D26CC">
      <w:r>
        <w:separator/>
      </w:r>
    </w:p>
  </w:endnote>
  <w:endnote w:type="continuationSeparator" w:id="0">
    <w:p w:rsidR="005D26CC" w:rsidRDefault="005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A5" w:rsidRDefault="003F7CA5"/>
  <w:tbl>
    <w:tblPr>
      <w:tblW w:w="5000" w:type="pct"/>
      <w:tblLook w:val="04A0" w:firstRow="1" w:lastRow="0" w:firstColumn="1" w:lastColumn="0" w:noHBand="0" w:noVBand="1"/>
    </w:tblPr>
    <w:tblGrid>
      <w:gridCol w:w="3618"/>
      <w:gridCol w:w="3619"/>
      <w:gridCol w:w="3619"/>
    </w:tblGrid>
    <w:tr w:rsidR="003F7CA5">
      <w:tc>
        <w:tcPr>
          <w:tcW w:w="1650" w:type="pct"/>
        </w:tcPr>
        <w:p w:rsidR="003F7CA5" w:rsidRDefault="003F7CA5"/>
      </w:tc>
      <w:tc>
        <w:tcPr>
          <w:tcW w:w="1650" w:type="pct"/>
        </w:tcPr>
        <w:p w:rsidR="003F7CA5" w:rsidRDefault="004A1BF2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3F7CA5" w:rsidRDefault="004A1BF2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786AB0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786AB0"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3F7CA5" w:rsidRDefault="003F7C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CC" w:rsidRDefault="005D26CC">
      <w:r>
        <w:separator/>
      </w:r>
    </w:p>
  </w:footnote>
  <w:footnote w:type="continuationSeparator" w:id="0">
    <w:p w:rsidR="005D26CC" w:rsidRDefault="005D2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A5"/>
    <w:rsid w:val="00025245"/>
    <w:rsid w:val="000D1E59"/>
    <w:rsid w:val="00217133"/>
    <w:rsid w:val="003D2AF4"/>
    <w:rsid w:val="003F7CA5"/>
    <w:rsid w:val="004A1BF2"/>
    <w:rsid w:val="00505B68"/>
    <w:rsid w:val="00550786"/>
    <w:rsid w:val="00583E23"/>
    <w:rsid w:val="005D26CC"/>
    <w:rsid w:val="00615813"/>
    <w:rsid w:val="00673AD6"/>
    <w:rsid w:val="006E76D3"/>
    <w:rsid w:val="006F40BC"/>
    <w:rsid w:val="00717478"/>
    <w:rsid w:val="00786AB0"/>
    <w:rsid w:val="007D585D"/>
    <w:rsid w:val="0082106C"/>
    <w:rsid w:val="00840CE8"/>
    <w:rsid w:val="008E0C33"/>
    <w:rsid w:val="00A20234"/>
    <w:rsid w:val="00A469CB"/>
    <w:rsid w:val="00B0190A"/>
    <w:rsid w:val="00BC4C77"/>
    <w:rsid w:val="00BE56B2"/>
    <w:rsid w:val="00C143FF"/>
    <w:rsid w:val="00C84BA5"/>
    <w:rsid w:val="00CD35B4"/>
    <w:rsid w:val="00D93EBB"/>
    <w:rsid w:val="00DB287B"/>
    <w:rsid w:val="00DE03F4"/>
    <w:rsid w:val="00DF0A70"/>
    <w:rsid w:val="00E235D1"/>
    <w:rsid w:val="00E31D11"/>
    <w:rsid w:val="00E334D9"/>
    <w:rsid w:val="00EA52D5"/>
    <w:rsid w:val="00EA7D9D"/>
    <w:rsid w:val="00F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rsid w:val="005507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50786"/>
    <w:rPr>
      <w:b/>
      <w:bCs/>
      <w:sz w:val="36"/>
      <w:szCs w:val="36"/>
    </w:rPr>
  </w:style>
  <w:style w:type="character" w:styleId="Voimakas">
    <w:name w:val="Strong"/>
    <w:basedOn w:val="Kappaleenoletusfontti"/>
    <w:uiPriority w:val="22"/>
    <w:qFormat/>
    <w:rsid w:val="00550786"/>
    <w:rPr>
      <w:b/>
      <w:bCs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CD3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CD35B4"/>
    <w:rPr>
      <w:rFonts w:ascii="Courier New" w:hAnsi="Courier New" w:cs="Courier New"/>
    </w:rPr>
  </w:style>
  <w:style w:type="character" w:styleId="Hyperlinkki">
    <w:name w:val="Hyperlink"/>
    <w:basedOn w:val="Kappaleenoletusfontti"/>
    <w:uiPriority w:val="99"/>
    <w:unhideWhenUsed/>
    <w:rsid w:val="00C14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rsid w:val="005507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50786"/>
    <w:rPr>
      <w:b/>
      <w:bCs/>
      <w:sz w:val="36"/>
      <w:szCs w:val="36"/>
    </w:rPr>
  </w:style>
  <w:style w:type="character" w:styleId="Voimakas">
    <w:name w:val="Strong"/>
    <w:basedOn w:val="Kappaleenoletusfontti"/>
    <w:uiPriority w:val="22"/>
    <w:qFormat/>
    <w:rsid w:val="00550786"/>
    <w:rPr>
      <w:b/>
      <w:bCs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CD3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CD35B4"/>
    <w:rPr>
      <w:rFonts w:ascii="Courier New" w:hAnsi="Courier New" w:cs="Courier New"/>
    </w:rPr>
  </w:style>
  <w:style w:type="character" w:styleId="Hyperlinkki">
    <w:name w:val="Hyperlink"/>
    <w:basedOn w:val="Kappaleenoletusfontti"/>
    <w:uiPriority w:val="99"/>
    <w:unhideWhenUsed/>
    <w:rsid w:val="00C1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kolaisneuvonta.fi/index_html?lid=167&amp;lang=su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7424</Characters>
  <Application>Microsoft Office Word</Application>
  <DocSecurity>4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sanna.rummakko</dc:creator>
  <cp:lastModifiedBy>Luomala Irene</cp:lastModifiedBy>
  <cp:revision>2</cp:revision>
  <cp:lastPrinted>2017-06-19T06:00:00Z</cp:lastPrinted>
  <dcterms:created xsi:type="dcterms:W3CDTF">2017-06-19T07:23:00Z</dcterms:created>
  <dcterms:modified xsi:type="dcterms:W3CDTF">2017-06-19T07:23:00Z</dcterms:modified>
</cp:coreProperties>
</file>