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5211"/>
      </w:tblGrid>
      <w:tr w:rsidR="00523851" w:rsidRPr="00D75BD2" w:rsidTr="00D75BD2">
        <w:trPr>
          <w:trHeight w:val="1418"/>
        </w:trPr>
        <w:tc>
          <w:tcPr>
            <w:tcW w:w="5211" w:type="dxa"/>
          </w:tcPr>
          <w:p w:rsidR="00523851" w:rsidRPr="00D75BD2" w:rsidRDefault="00523851" w:rsidP="00C9310A">
            <w:pPr>
              <w:pStyle w:val="Recipientaddress"/>
              <w:rPr>
                <w:rFonts w:ascii="Calibri" w:hAnsi="Calibri"/>
              </w:rPr>
            </w:pPr>
            <w:bookmarkStart w:id="0" w:name="Start"/>
            <w:bookmarkStart w:id="1" w:name="AmebaAddress"/>
            <w:bookmarkEnd w:id="0"/>
          </w:p>
        </w:tc>
      </w:tr>
    </w:tbl>
    <w:bookmarkEnd w:id="1"/>
    <w:p w:rsidR="00523851" w:rsidRPr="00CC1D30" w:rsidRDefault="00523851" w:rsidP="003C4795">
      <w:pPr>
        <w:pStyle w:val="Reference"/>
        <w:spacing w:after="120"/>
        <w:jc w:val="both"/>
        <w:rPr>
          <w:rFonts w:ascii="Calibri" w:hAnsi="Calibri"/>
          <w:b/>
          <w:sz w:val="22"/>
        </w:rPr>
      </w:pPr>
      <w:r w:rsidRPr="00CC1D30">
        <w:rPr>
          <w:rFonts w:ascii="Calibri" w:hAnsi="Calibri"/>
          <w:b/>
          <w:sz w:val="22"/>
        </w:rPr>
        <w:t>LAUSUNTO OIKEUSMINISTERIÖLLE</w:t>
      </w:r>
    </w:p>
    <w:p w:rsidR="00523851" w:rsidRPr="00CC1D30" w:rsidRDefault="00523851" w:rsidP="003C4795">
      <w:pPr>
        <w:jc w:val="both"/>
        <w:rPr>
          <w:rFonts w:ascii="Calibri" w:hAnsi="Calibri"/>
          <w:sz w:val="22"/>
        </w:rPr>
      </w:pPr>
      <w:bookmarkStart w:id="2" w:name="AmebaBeginning"/>
      <w:bookmarkEnd w:id="2"/>
    </w:p>
    <w:p w:rsidR="00523851" w:rsidRPr="00CC1D30" w:rsidRDefault="00523851" w:rsidP="003B5D38">
      <w:pPr>
        <w:jc w:val="both"/>
        <w:rPr>
          <w:rFonts w:ascii="Calibri" w:hAnsi="Calibri" w:cs="Arial"/>
          <w:b/>
          <w:bCs/>
          <w:color w:val="000000"/>
          <w:sz w:val="22"/>
        </w:rPr>
      </w:pPr>
      <w:r w:rsidRPr="00CC1D30">
        <w:rPr>
          <w:rFonts w:ascii="Calibri" w:hAnsi="Calibri" w:cs="Arial"/>
          <w:b/>
          <w:bCs/>
          <w:color w:val="000000"/>
          <w:sz w:val="22"/>
        </w:rPr>
        <w:t>HANKE</w:t>
      </w:r>
    </w:p>
    <w:p w:rsidR="00523851" w:rsidRPr="00CC1D30" w:rsidRDefault="00523851" w:rsidP="003B5D38">
      <w:pPr>
        <w:ind w:hanging="851"/>
        <w:jc w:val="both"/>
        <w:rPr>
          <w:rFonts w:ascii="Calibri" w:hAnsi="Calibri" w:cs="Arial"/>
          <w:b/>
          <w:bCs/>
          <w:color w:val="000000"/>
          <w:sz w:val="22"/>
        </w:rPr>
      </w:pPr>
    </w:p>
    <w:p w:rsidR="00523851" w:rsidRPr="00CC1D30" w:rsidRDefault="00523851" w:rsidP="003B5D38">
      <w:pPr>
        <w:jc w:val="both"/>
        <w:rPr>
          <w:rFonts w:ascii="Calibri" w:hAnsi="Calibri" w:cs="Arial"/>
          <w:bCs/>
          <w:color w:val="000000"/>
          <w:sz w:val="22"/>
        </w:rPr>
      </w:pPr>
      <w:r w:rsidRPr="00CC1D30">
        <w:rPr>
          <w:rFonts w:ascii="Calibri" w:hAnsi="Calibri" w:cs="Arial"/>
          <w:bCs/>
          <w:color w:val="000000"/>
          <w:sz w:val="22"/>
        </w:rPr>
        <w:t>Osakeyhtiölain uudistaminen pääomadirektiivin ja yritysjärjestelydirektiivien muutosdirektiivin (</w:t>
      </w:r>
      <w:r w:rsidRPr="00CC1D30">
        <w:rPr>
          <w:rFonts w:ascii="Calibri" w:hAnsi="Calibri"/>
          <w:sz w:val="22"/>
        </w:rPr>
        <w:t>2009/109/EY)</w:t>
      </w:r>
      <w:r w:rsidRPr="00CC1D30">
        <w:rPr>
          <w:rFonts w:ascii="Calibri" w:hAnsi="Calibri" w:cs="Arial"/>
          <w:bCs/>
          <w:color w:val="000000"/>
          <w:sz w:val="22"/>
        </w:rPr>
        <w:t xml:space="preserve"> voimaan saattamiseksi</w:t>
      </w:r>
    </w:p>
    <w:p w:rsidR="00523851" w:rsidRPr="00CC1D30" w:rsidRDefault="00523851" w:rsidP="003B5D38">
      <w:pPr>
        <w:jc w:val="both"/>
        <w:rPr>
          <w:rFonts w:ascii="Calibri" w:hAnsi="Calibri" w:cs="Arial"/>
          <w:b/>
          <w:bCs/>
          <w:color w:val="000000"/>
          <w:sz w:val="22"/>
        </w:rPr>
      </w:pPr>
    </w:p>
    <w:p w:rsidR="00523851" w:rsidRPr="00CC1D30" w:rsidRDefault="00523851" w:rsidP="003B5D38">
      <w:pPr>
        <w:jc w:val="both"/>
        <w:rPr>
          <w:rFonts w:ascii="Calibri" w:hAnsi="Calibri" w:cs="Arial"/>
          <w:b/>
          <w:bCs/>
          <w:color w:val="000000"/>
          <w:sz w:val="22"/>
        </w:rPr>
      </w:pPr>
      <w:r w:rsidRPr="00CC1D30">
        <w:rPr>
          <w:rFonts w:ascii="Calibri" w:hAnsi="Calibri" w:cs="Arial"/>
          <w:b/>
          <w:bCs/>
          <w:color w:val="000000"/>
          <w:sz w:val="22"/>
        </w:rPr>
        <w:t>LAUSUNTOPYYNTÖ</w:t>
      </w:r>
    </w:p>
    <w:p w:rsidR="00523851" w:rsidRPr="00CC1D30" w:rsidRDefault="00523851" w:rsidP="003C4795">
      <w:pPr>
        <w:jc w:val="both"/>
        <w:rPr>
          <w:rFonts w:ascii="Calibri" w:hAnsi="Calibri" w:cs="Arial"/>
          <w:b/>
          <w:bCs/>
          <w:color w:val="000000"/>
          <w:sz w:val="22"/>
        </w:rPr>
      </w:pPr>
    </w:p>
    <w:p w:rsidR="00523851" w:rsidRPr="00CC1D30" w:rsidRDefault="00523851" w:rsidP="003C4795">
      <w:pPr>
        <w:jc w:val="both"/>
        <w:rPr>
          <w:rFonts w:ascii="Calibri" w:hAnsi="Calibri" w:cs="Arial"/>
          <w:bCs/>
          <w:color w:val="000000"/>
          <w:sz w:val="22"/>
        </w:rPr>
      </w:pPr>
      <w:r w:rsidRPr="00CC1D30">
        <w:rPr>
          <w:rFonts w:ascii="Calibri" w:hAnsi="Calibri" w:cs="Arial"/>
          <w:bCs/>
          <w:color w:val="000000"/>
          <w:sz w:val="22"/>
        </w:rPr>
        <w:t>Oikeusministeriön lausuntopyyntö 4.3.2011 luonnoksesta hallituksen esitykseksi eduskunnalle laiksi osakeyhtiölain muuttamisesta (”Esitysluonnos”)</w:t>
      </w:r>
    </w:p>
    <w:p w:rsidR="00523851" w:rsidRPr="00CC1D30" w:rsidRDefault="00523851" w:rsidP="003C4795">
      <w:pPr>
        <w:jc w:val="both"/>
        <w:rPr>
          <w:rFonts w:ascii="Calibri" w:hAnsi="Calibri" w:cs="Arial"/>
          <w:b/>
          <w:bCs/>
          <w:color w:val="000000"/>
          <w:sz w:val="22"/>
        </w:rPr>
      </w:pPr>
    </w:p>
    <w:p w:rsidR="00523851" w:rsidRPr="00CC1D30" w:rsidRDefault="00523851" w:rsidP="003C4795">
      <w:pPr>
        <w:jc w:val="both"/>
        <w:rPr>
          <w:rFonts w:ascii="Calibri" w:hAnsi="Calibri" w:cs="Arial"/>
          <w:b/>
          <w:bCs/>
          <w:color w:val="000000"/>
          <w:sz w:val="22"/>
        </w:rPr>
      </w:pPr>
    </w:p>
    <w:p w:rsidR="00523851" w:rsidRPr="00CC1D30" w:rsidRDefault="00523851" w:rsidP="003C4795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 xml:space="preserve">Suomen Veroasiantuntijat ry kiittää mahdollisuudesta esittää lausuntonsa otsikkoasiassa. </w:t>
      </w:r>
    </w:p>
    <w:p w:rsidR="00523851" w:rsidRPr="00CC1D30" w:rsidRDefault="00523851" w:rsidP="003C4795">
      <w:pPr>
        <w:jc w:val="both"/>
        <w:rPr>
          <w:rFonts w:ascii="Calibri" w:hAnsi="Calibri"/>
          <w:sz w:val="22"/>
        </w:rPr>
      </w:pPr>
    </w:p>
    <w:p w:rsidR="00523851" w:rsidRDefault="00523851" w:rsidP="003C4795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Lausuntonamme haluamme kunnioittaen tuoda esille seuraavaa:</w:t>
      </w:r>
    </w:p>
    <w:p w:rsidR="00523851" w:rsidRPr="00CC1D30" w:rsidRDefault="00523851" w:rsidP="003C4795">
      <w:pPr>
        <w:jc w:val="both"/>
        <w:rPr>
          <w:rFonts w:ascii="Calibri" w:hAnsi="Calibri"/>
          <w:sz w:val="22"/>
        </w:rPr>
      </w:pPr>
    </w:p>
    <w:p w:rsidR="00523851" w:rsidRPr="00CC1D30" w:rsidRDefault="00523851" w:rsidP="00307127">
      <w:pPr>
        <w:pStyle w:val="ListParagraph"/>
        <w:numPr>
          <w:ilvl w:val="0"/>
          <w:numId w:val="31"/>
        </w:numPr>
        <w:jc w:val="both"/>
        <w:rPr>
          <w:rFonts w:ascii="Calibri" w:hAnsi="Calibri"/>
          <w:b/>
          <w:sz w:val="22"/>
        </w:rPr>
      </w:pPr>
      <w:r w:rsidRPr="00CC1D30">
        <w:rPr>
          <w:rFonts w:ascii="Calibri" w:hAnsi="Calibri"/>
          <w:b/>
          <w:sz w:val="22"/>
        </w:rPr>
        <w:t>Tausta ja muutosdirektiivin tavoite</w:t>
      </w:r>
    </w:p>
    <w:p w:rsidR="00523851" w:rsidRPr="00CC1D30" w:rsidRDefault="00523851" w:rsidP="00FB3D61">
      <w:pPr>
        <w:jc w:val="both"/>
        <w:rPr>
          <w:rFonts w:ascii="Calibri" w:hAnsi="Calibri"/>
          <w:sz w:val="22"/>
        </w:rPr>
      </w:pPr>
    </w:p>
    <w:p w:rsidR="00523851" w:rsidRDefault="00523851" w:rsidP="00FB3D61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Euroopan parlamentin ja neuvoston direktiivillä 2009/109/EY (”muutosdirektiivi”), annettu 16 päiv</w:t>
      </w:r>
      <w:r w:rsidRPr="00CC1D30">
        <w:rPr>
          <w:rFonts w:ascii="Calibri" w:hAnsi="Calibri"/>
          <w:sz w:val="22"/>
        </w:rPr>
        <w:t>ä</w:t>
      </w:r>
      <w:r w:rsidRPr="00CC1D30">
        <w:rPr>
          <w:rFonts w:ascii="Calibri" w:hAnsi="Calibri"/>
          <w:sz w:val="22"/>
        </w:rPr>
        <w:t>nä syyskuuta 2009, neuvoston direktiivien 77/91/ETY (”Pääomadirektiivi”), 78/855/ETY (”sulautumi</w:t>
      </w:r>
      <w:r w:rsidRPr="00CC1D30">
        <w:rPr>
          <w:rFonts w:ascii="Calibri" w:hAnsi="Calibri"/>
          <w:sz w:val="22"/>
        </w:rPr>
        <w:t>s</w:t>
      </w:r>
      <w:r w:rsidRPr="00CC1D30">
        <w:rPr>
          <w:rFonts w:ascii="Calibri" w:hAnsi="Calibri"/>
          <w:sz w:val="22"/>
        </w:rPr>
        <w:t>direktiivi”) ja 82/891/ETY (”jakautumisdirektiivi”) sekä direktiivin 2005/56/EY (”rajat ylittävät sula</w:t>
      </w:r>
      <w:r w:rsidRPr="00CC1D30">
        <w:rPr>
          <w:rFonts w:ascii="Calibri" w:hAnsi="Calibri"/>
          <w:sz w:val="22"/>
        </w:rPr>
        <w:t>u</w:t>
      </w:r>
      <w:r w:rsidRPr="00CC1D30">
        <w:rPr>
          <w:rFonts w:ascii="Calibri" w:hAnsi="Calibri"/>
          <w:sz w:val="22"/>
        </w:rPr>
        <w:t>tumiset direktiivi”) muuttamisesta sulautumis- ja jakautumistapauksissa annettavien tietojen ilmoi</w:t>
      </w:r>
      <w:r w:rsidRPr="00CC1D30">
        <w:rPr>
          <w:rFonts w:ascii="Calibri" w:hAnsi="Calibri"/>
          <w:sz w:val="22"/>
        </w:rPr>
        <w:t>t</w:t>
      </w:r>
      <w:r w:rsidRPr="00CC1D30">
        <w:rPr>
          <w:rFonts w:ascii="Calibri" w:hAnsi="Calibri"/>
          <w:sz w:val="22"/>
        </w:rPr>
        <w:t>tamista ja asiakirjoja koskevien vaatimusten osalta, on tarkoituksena vähentää yrityksille aiheutuvia sulautumis- ja jakautumistilanteisiin liittyviä tiedonantovelvollisuutta koskevia hallinnollisia rasitteita sellaiseen vähimmäismäärään, joka on tarpeen yhtiöiden sidosryhmien etujen suojaamiseksi. Mu</w:t>
      </w:r>
      <w:r w:rsidRPr="00CC1D30">
        <w:rPr>
          <w:rFonts w:ascii="Calibri" w:hAnsi="Calibri"/>
          <w:sz w:val="22"/>
        </w:rPr>
        <w:t>u</w:t>
      </w:r>
      <w:r w:rsidRPr="00CC1D30">
        <w:rPr>
          <w:rFonts w:ascii="Calibri" w:hAnsi="Calibri"/>
          <w:sz w:val="22"/>
        </w:rPr>
        <w:t>tosdirektiivillä pyritään siten vähentämään yhtiöille sulautumis- ja jakautumistilanteiden tiedonant</w:t>
      </w:r>
      <w:r w:rsidRPr="00CC1D30">
        <w:rPr>
          <w:rFonts w:ascii="Calibri" w:hAnsi="Calibri"/>
          <w:sz w:val="22"/>
        </w:rPr>
        <w:t>o</w:t>
      </w:r>
      <w:r w:rsidRPr="00CC1D30">
        <w:rPr>
          <w:rFonts w:ascii="Calibri" w:hAnsi="Calibri"/>
          <w:sz w:val="22"/>
        </w:rPr>
        <w:t>velvoitteista aiheutuvia kustannuksia. Muutosdirektiivin taustalla on Eurooppa-neuvoston maali</w:t>
      </w:r>
      <w:r w:rsidRPr="00CC1D30">
        <w:rPr>
          <w:rFonts w:ascii="Calibri" w:hAnsi="Calibri"/>
          <w:sz w:val="22"/>
        </w:rPr>
        <w:t>s</w:t>
      </w:r>
      <w:r w:rsidRPr="00CC1D30">
        <w:rPr>
          <w:rFonts w:ascii="Calibri" w:hAnsi="Calibri"/>
          <w:sz w:val="22"/>
        </w:rPr>
        <w:t>kuussa 2007 pidetyssä kokouksessa vahvistetun toimintaohjelman mukainen tavoite vähentää yrity</w:t>
      </w:r>
      <w:r w:rsidRPr="00CC1D30">
        <w:rPr>
          <w:rFonts w:ascii="Calibri" w:hAnsi="Calibri"/>
          <w:sz w:val="22"/>
        </w:rPr>
        <w:t>k</w:t>
      </w:r>
      <w:r w:rsidRPr="00CC1D30">
        <w:rPr>
          <w:rFonts w:ascii="Calibri" w:hAnsi="Calibri"/>
          <w:sz w:val="22"/>
        </w:rPr>
        <w:t>sille aiheutuvia hallinnollisia rasitteita 25 prosenttia vuoteen 2012 mennessä yhteisön yritysten ki</w:t>
      </w:r>
      <w:r w:rsidRPr="00CC1D30">
        <w:rPr>
          <w:rFonts w:ascii="Calibri" w:hAnsi="Calibri"/>
          <w:sz w:val="22"/>
        </w:rPr>
        <w:t>l</w:t>
      </w:r>
      <w:r w:rsidRPr="00CC1D30">
        <w:rPr>
          <w:rFonts w:ascii="Calibri" w:hAnsi="Calibri"/>
          <w:sz w:val="22"/>
        </w:rPr>
        <w:t>pailukyvyn parantamiseksi.</w:t>
      </w:r>
    </w:p>
    <w:p w:rsidR="00523851" w:rsidRDefault="00523851" w:rsidP="00FB3D61">
      <w:pPr>
        <w:jc w:val="both"/>
        <w:rPr>
          <w:rFonts w:ascii="Calibri" w:hAnsi="Calibri"/>
          <w:sz w:val="22"/>
        </w:rPr>
      </w:pPr>
    </w:p>
    <w:p w:rsidR="00523851" w:rsidRPr="00CC1D30" w:rsidRDefault="00523851" w:rsidP="00FB3D61">
      <w:pPr>
        <w:jc w:val="both"/>
        <w:rPr>
          <w:rFonts w:ascii="Calibri" w:hAnsi="Calibri"/>
          <w:sz w:val="22"/>
        </w:rPr>
      </w:pPr>
    </w:p>
    <w:p w:rsidR="00523851" w:rsidRPr="00CC1D30" w:rsidRDefault="00523851" w:rsidP="00FB3D61">
      <w:pPr>
        <w:jc w:val="both"/>
        <w:rPr>
          <w:rFonts w:ascii="Calibri" w:hAnsi="Calibri"/>
          <w:sz w:val="22"/>
        </w:rPr>
      </w:pPr>
    </w:p>
    <w:p w:rsidR="00523851" w:rsidRPr="00CC1D30" w:rsidRDefault="00523851" w:rsidP="00307127">
      <w:pPr>
        <w:pStyle w:val="ListParagraph"/>
        <w:numPr>
          <w:ilvl w:val="0"/>
          <w:numId w:val="31"/>
        </w:numPr>
        <w:jc w:val="both"/>
        <w:rPr>
          <w:rFonts w:ascii="Calibri" w:hAnsi="Calibri"/>
          <w:b/>
          <w:sz w:val="22"/>
        </w:rPr>
      </w:pPr>
      <w:r w:rsidRPr="00CC1D30">
        <w:rPr>
          <w:rFonts w:ascii="Calibri" w:hAnsi="Calibri"/>
          <w:b/>
          <w:sz w:val="22"/>
        </w:rPr>
        <w:t>Lausunnon sisältö</w:t>
      </w:r>
    </w:p>
    <w:p w:rsidR="00523851" w:rsidRPr="00CC1D30" w:rsidRDefault="00523851" w:rsidP="00FB3D61">
      <w:pPr>
        <w:jc w:val="both"/>
        <w:rPr>
          <w:rFonts w:ascii="Calibri" w:hAnsi="Calibri"/>
          <w:sz w:val="22"/>
        </w:rPr>
      </w:pPr>
    </w:p>
    <w:p w:rsidR="00523851" w:rsidRPr="00CC1D30" w:rsidRDefault="00523851" w:rsidP="00FB3D61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Lausunnossa on käsitelty eräitä muutosdirektiivin johdosta sulautumis- ja jakautumisdirektiiveihin tehtyjä muutoksia ja niiden johdosta ehdotettuja muutoksia osakeyhtiölain sään</w:t>
      </w:r>
      <w:r>
        <w:rPr>
          <w:rFonts w:ascii="Calibri" w:hAnsi="Calibri"/>
          <w:sz w:val="22"/>
        </w:rPr>
        <w:t>te</w:t>
      </w:r>
      <w:r w:rsidRPr="00CC1D30">
        <w:rPr>
          <w:rFonts w:ascii="Calibri" w:hAnsi="Calibri"/>
          <w:sz w:val="22"/>
        </w:rPr>
        <w:t>lyyn, joiden vo</w:t>
      </w:r>
      <w:r w:rsidRPr="00CC1D30">
        <w:rPr>
          <w:rFonts w:ascii="Calibri" w:hAnsi="Calibri"/>
          <w:sz w:val="22"/>
        </w:rPr>
        <w:t>i</w:t>
      </w:r>
      <w:r w:rsidRPr="00CC1D30">
        <w:rPr>
          <w:rFonts w:ascii="Calibri" w:hAnsi="Calibri"/>
          <w:sz w:val="22"/>
        </w:rPr>
        <w:t>daan katsoa olevan merkityksellisiä yhtiön osakkeenomistajien ja eri sidosryhmien kannalta.</w:t>
      </w:r>
    </w:p>
    <w:p w:rsidR="00523851" w:rsidRPr="00CC1D30" w:rsidRDefault="00523851" w:rsidP="00FB3D61">
      <w:pPr>
        <w:jc w:val="both"/>
        <w:rPr>
          <w:rFonts w:ascii="Calibri" w:hAnsi="Calibri"/>
          <w:sz w:val="22"/>
        </w:rPr>
      </w:pPr>
    </w:p>
    <w:p w:rsidR="00523851" w:rsidRPr="00CC1D30" w:rsidRDefault="00523851" w:rsidP="00CC1D30">
      <w:pPr>
        <w:pStyle w:val="ListParagraph"/>
        <w:numPr>
          <w:ilvl w:val="0"/>
          <w:numId w:val="31"/>
        </w:numPr>
        <w:jc w:val="both"/>
        <w:rPr>
          <w:rFonts w:ascii="Calibri" w:hAnsi="Calibri"/>
          <w:b/>
          <w:sz w:val="22"/>
          <w:lang w:val="fi-FI"/>
        </w:rPr>
      </w:pPr>
      <w:r w:rsidRPr="00CC1D30">
        <w:rPr>
          <w:rFonts w:ascii="Calibri" w:hAnsi="Calibri"/>
          <w:b/>
          <w:sz w:val="22"/>
          <w:lang w:val="fi-FI"/>
        </w:rPr>
        <w:t xml:space="preserve">Pääomadirektiivin muutokset (muutosdirektiivin 1 artikla) </w:t>
      </w:r>
    </w:p>
    <w:p w:rsidR="00523851" w:rsidRPr="00CC1D30" w:rsidRDefault="00523851" w:rsidP="00345136">
      <w:pPr>
        <w:jc w:val="both"/>
        <w:rPr>
          <w:rFonts w:ascii="Calibri" w:hAnsi="Calibri"/>
          <w:color w:val="000000"/>
          <w:sz w:val="22"/>
        </w:rPr>
      </w:pPr>
    </w:p>
    <w:p w:rsidR="00523851" w:rsidRPr="00CC1D30" w:rsidRDefault="00523851" w:rsidP="00345136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Pääomadirektiivin tehdyt muutokset (muutosdirektiivin artiklan 1 kohdat 1-3) eivät edellytä osakey</w:t>
      </w:r>
      <w:r w:rsidRPr="00CC1D30">
        <w:rPr>
          <w:rFonts w:ascii="Calibri" w:hAnsi="Calibri"/>
          <w:sz w:val="22"/>
        </w:rPr>
        <w:t>h</w:t>
      </w:r>
      <w:r w:rsidRPr="00CC1D30">
        <w:rPr>
          <w:rFonts w:ascii="Calibri" w:hAnsi="Calibri"/>
          <w:sz w:val="22"/>
        </w:rPr>
        <w:t>tiölain sääntelyn muuttamista.</w:t>
      </w:r>
    </w:p>
    <w:p w:rsidR="00523851" w:rsidRPr="00CC1D30" w:rsidRDefault="00523851" w:rsidP="00345136">
      <w:pPr>
        <w:jc w:val="both"/>
        <w:rPr>
          <w:rFonts w:ascii="Calibri" w:hAnsi="Calibri"/>
          <w:b/>
          <w:bCs/>
          <w:sz w:val="23"/>
          <w:szCs w:val="23"/>
        </w:rPr>
      </w:pPr>
    </w:p>
    <w:p w:rsidR="00523851" w:rsidRPr="00CC1D30" w:rsidRDefault="00523851" w:rsidP="00CC1D30">
      <w:pPr>
        <w:pStyle w:val="ListParagraph"/>
        <w:numPr>
          <w:ilvl w:val="0"/>
          <w:numId w:val="31"/>
        </w:numPr>
        <w:jc w:val="both"/>
        <w:rPr>
          <w:rFonts w:ascii="Calibri" w:hAnsi="Calibri"/>
          <w:b/>
          <w:sz w:val="22"/>
          <w:lang w:val="fi-FI"/>
        </w:rPr>
      </w:pPr>
      <w:r w:rsidRPr="00CC1D30">
        <w:rPr>
          <w:rFonts w:ascii="Calibri" w:hAnsi="Calibri"/>
          <w:b/>
          <w:bCs/>
          <w:sz w:val="23"/>
          <w:szCs w:val="23"/>
          <w:lang w:val="fi-FI"/>
        </w:rPr>
        <w:t>Sulautumisdirektiivin muutokset (muutosdirektiivin 2 artikla)</w:t>
      </w:r>
    </w:p>
    <w:p w:rsidR="00523851" w:rsidRPr="00CC1D30" w:rsidRDefault="00523851" w:rsidP="00345136">
      <w:pPr>
        <w:jc w:val="both"/>
        <w:rPr>
          <w:rFonts w:ascii="Calibri" w:hAnsi="Calibri"/>
          <w:sz w:val="22"/>
        </w:rPr>
      </w:pPr>
    </w:p>
    <w:p w:rsidR="00523851" w:rsidRPr="00CC1D30" w:rsidRDefault="00523851" w:rsidP="00907C9F">
      <w:pPr>
        <w:pStyle w:val="ListParagraph"/>
        <w:numPr>
          <w:ilvl w:val="1"/>
          <w:numId w:val="31"/>
        </w:numPr>
        <w:ind w:left="567" w:hanging="567"/>
        <w:jc w:val="both"/>
        <w:rPr>
          <w:rFonts w:ascii="Calibri" w:hAnsi="Calibri"/>
          <w:b/>
          <w:sz w:val="22"/>
          <w:lang w:val="fi-FI"/>
        </w:rPr>
      </w:pPr>
      <w:r w:rsidRPr="00CC1D30">
        <w:rPr>
          <w:rFonts w:ascii="Calibri" w:hAnsi="Calibri"/>
          <w:b/>
          <w:sz w:val="22"/>
          <w:lang w:val="fi-FI"/>
        </w:rPr>
        <w:t>Sulautumisasiakirjojen nähtävänä pitäminen ja toimittaminen</w:t>
      </w:r>
    </w:p>
    <w:p w:rsidR="00523851" w:rsidRPr="00CC1D30" w:rsidRDefault="00523851" w:rsidP="00345136">
      <w:pPr>
        <w:jc w:val="both"/>
        <w:rPr>
          <w:rFonts w:ascii="Calibri" w:hAnsi="Calibri"/>
          <w:sz w:val="22"/>
        </w:rPr>
      </w:pPr>
    </w:p>
    <w:p w:rsidR="00523851" w:rsidRPr="00CC1D30" w:rsidRDefault="00523851" w:rsidP="006053CE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Sulautumisdirektiivin 11 artiklan 1. kohtaan tehdyn muutoksen perusteella julkisia osakeyhtiöitä ko</w:t>
      </w:r>
      <w:r w:rsidRPr="00CC1D30">
        <w:rPr>
          <w:rFonts w:ascii="Calibri" w:hAnsi="Calibri"/>
          <w:sz w:val="22"/>
        </w:rPr>
        <w:t>s</w:t>
      </w:r>
      <w:r w:rsidRPr="00CC1D30">
        <w:rPr>
          <w:rFonts w:ascii="Calibri" w:hAnsi="Calibri"/>
          <w:sz w:val="22"/>
        </w:rPr>
        <w:t>kevaan osakeyhtiölain 16 luvun 11 §:n 1 momentin 3) kohtaan ehdotettu muutos on perusteltu. Es</w:t>
      </w:r>
      <w:r w:rsidRPr="00CC1D30">
        <w:rPr>
          <w:rFonts w:ascii="Calibri" w:hAnsi="Calibri"/>
          <w:sz w:val="22"/>
        </w:rPr>
        <w:t>i</w:t>
      </w:r>
      <w:r w:rsidRPr="00CC1D30">
        <w:rPr>
          <w:rFonts w:ascii="Calibri" w:hAnsi="Calibri"/>
          <w:sz w:val="22"/>
        </w:rPr>
        <w:t>tysluonnoksen mukaisen muutosehdotuksen perusteella välitilinpäätöstä ei sulautumistilanteissa vaadita, jos yhtiö julkaisee arvopaperimarkkinalain 2 luvun 5 §:ssä tarkoitetun osavuosikatsauksen viimeisen tilikauden päättymisen jälkeiseltä kuudelta kuukaudelta, ja joka on osakkeenomistajien nähtävänä ja saatavilla osakeyhtiölain 16 luvun 11 §:ssä säädetyllä tavalla.</w:t>
      </w:r>
    </w:p>
    <w:p w:rsidR="00523851" w:rsidRPr="00CC1D30" w:rsidRDefault="00523851" w:rsidP="006053CE">
      <w:pPr>
        <w:jc w:val="both"/>
        <w:rPr>
          <w:rFonts w:ascii="Calibri" w:hAnsi="Calibri"/>
          <w:sz w:val="22"/>
        </w:rPr>
      </w:pPr>
    </w:p>
    <w:p w:rsidR="00523851" w:rsidRPr="00CC1D30" w:rsidRDefault="00523851" w:rsidP="00E729F4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Sulautumisdirektiivin 11 artiklan 3. kohdan mukaan jokaisella osakkeenomistajalla on oikeus saada pyynnöstä vastikkeetta jäljennökset sulautumisasiakirjoista. Sulautumisdirektiivin 11 artiklan 3 ko</w:t>
      </w:r>
      <w:r w:rsidRPr="00CC1D30">
        <w:rPr>
          <w:rFonts w:ascii="Calibri" w:hAnsi="Calibri"/>
          <w:sz w:val="22"/>
        </w:rPr>
        <w:t>h</w:t>
      </w:r>
      <w:r w:rsidRPr="00CC1D30">
        <w:rPr>
          <w:rFonts w:ascii="Calibri" w:hAnsi="Calibri"/>
          <w:sz w:val="22"/>
        </w:rPr>
        <w:t xml:space="preserve">taan on lisätty toinen alakohta, jonka mukaan jäljennökset sulautumisasiakirjoista voidaan toimittaa osakkeenomistajalle sähköpostitse, jos tämä on antanut yhtiölle luvan toimittaa tiedot sähköisesti. </w:t>
      </w:r>
    </w:p>
    <w:p w:rsidR="00523851" w:rsidRPr="00CC1D30" w:rsidRDefault="00523851" w:rsidP="00E729F4">
      <w:pPr>
        <w:jc w:val="both"/>
        <w:rPr>
          <w:rFonts w:ascii="Calibri" w:hAnsi="Calibri"/>
          <w:sz w:val="22"/>
        </w:rPr>
      </w:pPr>
    </w:p>
    <w:p w:rsidR="00523851" w:rsidRPr="00CC1D30" w:rsidRDefault="00523851" w:rsidP="00E729F4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Sulautumisdirektiivin 11 artiklan uuden 4. kohdan ensimmäisen alakohdan mukaan y</w:t>
      </w:r>
      <w:r w:rsidRPr="00CC1D30">
        <w:rPr>
          <w:rFonts w:ascii="Calibri" w:hAnsi="Calibri" w:cs="EUAlbertina"/>
          <w:color w:val="000000"/>
          <w:sz w:val="22"/>
        </w:rPr>
        <w:t>htiö vapaut</w:t>
      </w:r>
      <w:r w:rsidRPr="00CC1D30">
        <w:rPr>
          <w:rFonts w:ascii="Calibri" w:hAnsi="Calibri" w:cs="EUAlbertina"/>
          <w:color w:val="000000"/>
          <w:sz w:val="22"/>
        </w:rPr>
        <w:t>e</w:t>
      </w:r>
      <w:r w:rsidRPr="00CC1D30">
        <w:rPr>
          <w:rFonts w:ascii="Calibri" w:hAnsi="Calibri" w:cs="EUAlbertina"/>
          <w:color w:val="000000"/>
          <w:sz w:val="22"/>
        </w:rPr>
        <w:t>taan vaatimuksesta asettaa sulautumisasiakirjat saataville yhtiön kotipaikassa, jos se pitää ne saat</w:t>
      </w:r>
      <w:r w:rsidRPr="00CC1D30">
        <w:rPr>
          <w:rFonts w:ascii="Calibri" w:hAnsi="Calibri" w:cs="EUAlbertina"/>
          <w:color w:val="000000"/>
          <w:sz w:val="22"/>
        </w:rPr>
        <w:t>a</w:t>
      </w:r>
      <w:r w:rsidRPr="00CC1D30">
        <w:rPr>
          <w:rFonts w:ascii="Calibri" w:hAnsi="Calibri" w:cs="EUAlbertina"/>
          <w:color w:val="000000"/>
          <w:sz w:val="22"/>
        </w:rPr>
        <w:t>villa verkkosivustollaan</w:t>
      </w:r>
      <w:r w:rsidRPr="00CC1D30">
        <w:rPr>
          <w:rFonts w:ascii="Calibri" w:hAnsi="Calibri"/>
          <w:sz w:val="22"/>
        </w:rPr>
        <w:t xml:space="preserve"> vähintään yhden kuukauden ajan ennen sulautumisesta päättävää yhtiök</w:t>
      </w:r>
      <w:r w:rsidRPr="00CC1D30">
        <w:rPr>
          <w:rFonts w:ascii="Calibri" w:hAnsi="Calibri"/>
          <w:sz w:val="22"/>
        </w:rPr>
        <w:t>o</w:t>
      </w:r>
      <w:r w:rsidRPr="00CC1D30">
        <w:rPr>
          <w:rFonts w:ascii="Calibri" w:hAnsi="Calibri"/>
          <w:sz w:val="22"/>
        </w:rPr>
        <w:t>kousta ja vähintään yhtiökokouksen päättymiseen saakka</w:t>
      </w:r>
      <w:r w:rsidRPr="00CC1D30">
        <w:rPr>
          <w:rFonts w:ascii="Calibri" w:hAnsi="Calibri" w:cs="EUAlbertina"/>
          <w:color w:val="000000"/>
          <w:sz w:val="22"/>
        </w:rPr>
        <w:t>.</w:t>
      </w:r>
      <w:r w:rsidRPr="00CC1D30">
        <w:rPr>
          <w:rFonts w:ascii="Calibri" w:hAnsi="Calibri"/>
          <w:sz w:val="22"/>
        </w:rPr>
        <w:t xml:space="preserve"> Ehdotettu muutos osakeyhtiölain 16 luvun 11 §:n 1 momentin muotoiluksi on tältä osin perusteltu.</w:t>
      </w:r>
    </w:p>
    <w:p w:rsidR="00523851" w:rsidRPr="00CC1D30" w:rsidRDefault="00523851" w:rsidP="006053CE">
      <w:pPr>
        <w:jc w:val="both"/>
        <w:rPr>
          <w:rFonts w:ascii="Calibri" w:hAnsi="Calibri"/>
          <w:sz w:val="22"/>
        </w:rPr>
      </w:pPr>
    </w:p>
    <w:p w:rsidR="00523851" w:rsidRPr="00CC1D30" w:rsidRDefault="00523851" w:rsidP="006053CE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Sulautumisdirektiivin 11 artiklan uuden 4. kohdan toisen alakohdan mukaan edellä mainittua sula</w:t>
      </w:r>
      <w:r w:rsidRPr="00CC1D30">
        <w:rPr>
          <w:rFonts w:ascii="Calibri" w:hAnsi="Calibri"/>
          <w:sz w:val="22"/>
        </w:rPr>
        <w:t>u</w:t>
      </w:r>
      <w:r w:rsidRPr="00CC1D30">
        <w:rPr>
          <w:rFonts w:ascii="Calibri" w:hAnsi="Calibri"/>
          <w:sz w:val="22"/>
        </w:rPr>
        <w:t>tumisdirektiivin 11 artiklan 3. kohtaa ei sovelleta, mikäli osakkeenomistajille annetaan edellisessä kappaleessa mainittuna aikana mahdollisuus ladata ja tulostaa sulautumisasiakirjat yhtiön ver</w:t>
      </w:r>
      <w:r w:rsidRPr="00CC1D30">
        <w:rPr>
          <w:rFonts w:ascii="Calibri" w:hAnsi="Calibri"/>
          <w:sz w:val="22"/>
        </w:rPr>
        <w:t>k</w:t>
      </w:r>
      <w:r w:rsidRPr="00CC1D30">
        <w:rPr>
          <w:rFonts w:ascii="Calibri" w:hAnsi="Calibri"/>
          <w:sz w:val="22"/>
        </w:rPr>
        <w:t>kosivuilta. Näin ollen yhtiön ei tarvitse lähettää osakeyhtiölain 16 luvun 11 §:n 1 momentissa tarko</w:t>
      </w:r>
      <w:r w:rsidRPr="00CC1D30">
        <w:rPr>
          <w:rFonts w:ascii="Calibri" w:hAnsi="Calibri"/>
          <w:sz w:val="22"/>
        </w:rPr>
        <w:t>i</w:t>
      </w:r>
      <w:r w:rsidRPr="00CC1D30">
        <w:rPr>
          <w:rFonts w:ascii="Calibri" w:hAnsi="Calibri"/>
          <w:sz w:val="22"/>
        </w:rPr>
        <w:t>tettuja nähtävänä pidettäviä sulautumisasiakirjoja osakkeenomistajalle, jos nämä asiakirjat ovat l</w:t>
      </w:r>
      <w:r w:rsidRPr="00CC1D30">
        <w:rPr>
          <w:rFonts w:ascii="Calibri" w:hAnsi="Calibri"/>
          <w:sz w:val="22"/>
        </w:rPr>
        <w:t>a</w:t>
      </w:r>
      <w:r w:rsidRPr="00CC1D30">
        <w:rPr>
          <w:rFonts w:ascii="Calibri" w:hAnsi="Calibri"/>
          <w:sz w:val="22"/>
        </w:rPr>
        <w:t>dattavissa ja tulostettavissa yhtiön internetsivuilta. Ehdotettu muutos osakeyhtiölain 16 luvun 11 §:n 1 momentin muotoiluksi on tältä osin perusteltu.</w:t>
      </w:r>
    </w:p>
    <w:p w:rsidR="00523851" w:rsidRPr="00CC1D30" w:rsidRDefault="00523851" w:rsidP="006053CE">
      <w:pPr>
        <w:jc w:val="both"/>
        <w:rPr>
          <w:rFonts w:ascii="Calibri" w:hAnsi="Calibri"/>
          <w:sz w:val="22"/>
        </w:rPr>
      </w:pPr>
    </w:p>
    <w:p w:rsidR="00523851" w:rsidRPr="00CC1D30" w:rsidRDefault="00523851" w:rsidP="006053CE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Mikäli sulautumisasiakirjat ovat ladattavissa ja tulostettavissa yhtiön verkkosivuilta edellä mainitulla tavalla, ei myöskään osakkeenomistajan lupaa sulautumisasiakirjojen sähköpostitse toimittamiseen edellytetä. Toisaalta mikäli sulautumisasiakirjat eivät ole edellä mainitulla tavalla ladattavissa ja t</w:t>
      </w:r>
      <w:r w:rsidRPr="00CC1D30">
        <w:rPr>
          <w:rFonts w:ascii="Calibri" w:hAnsi="Calibri"/>
          <w:sz w:val="22"/>
        </w:rPr>
        <w:t>u</w:t>
      </w:r>
      <w:r w:rsidRPr="00CC1D30">
        <w:rPr>
          <w:rFonts w:ascii="Calibri" w:hAnsi="Calibri"/>
          <w:sz w:val="22"/>
        </w:rPr>
        <w:t>lostettavissa yhtiön internetsivuilta, näyttäisi direktiivin sanamuodon perusteella siltä, että sulaut</w:t>
      </w:r>
      <w:r w:rsidRPr="00CC1D30">
        <w:rPr>
          <w:rFonts w:ascii="Calibri" w:hAnsi="Calibri"/>
          <w:sz w:val="22"/>
        </w:rPr>
        <w:t>u</w:t>
      </w:r>
      <w:r w:rsidRPr="00CC1D30">
        <w:rPr>
          <w:rFonts w:ascii="Calibri" w:hAnsi="Calibri"/>
          <w:sz w:val="22"/>
        </w:rPr>
        <w:t>misasiakirjojen toimittaminen sähköpostilla edellyttää ko. osakkeenomistajan lupaa. Edellä mainittu tulisi ottaa huomioon osakeyhtiölain 16 luvun 11 §:n 2 momentin muutosehdotuksessa.</w:t>
      </w:r>
    </w:p>
    <w:p w:rsidR="00523851" w:rsidRPr="00CC1D30" w:rsidRDefault="00523851" w:rsidP="006053CE">
      <w:pPr>
        <w:jc w:val="both"/>
        <w:rPr>
          <w:rFonts w:ascii="Calibri" w:hAnsi="Calibri"/>
          <w:sz w:val="22"/>
        </w:rPr>
      </w:pPr>
    </w:p>
    <w:p w:rsidR="00523851" w:rsidRPr="00CC1D30" w:rsidRDefault="00523851" w:rsidP="0048008D">
      <w:pPr>
        <w:pStyle w:val="Default"/>
        <w:jc w:val="both"/>
        <w:rPr>
          <w:rFonts w:ascii="Calibri" w:hAnsi="Calibri"/>
          <w:sz w:val="22"/>
          <w:szCs w:val="22"/>
          <w:lang w:val="fi-FI"/>
        </w:rPr>
      </w:pPr>
      <w:r w:rsidRPr="00CC1D30">
        <w:rPr>
          <w:rFonts w:ascii="Calibri" w:hAnsi="Calibri"/>
          <w:sz w:val="22"/>
          <w:szCs w:val="22"/>
          <w:lang w:val="fi-FI"/>
        </w:rPr>
        <w:t>Esitysluonnoksessa kokousasiakirjojen nähtävänä pitämistä ja lähettämistä koskevaan osakeyhtiölain 5 luvun 21 §:n 1 momentin sääntelyyn yhdenmukaisuusnäkökulmasta esitetyt muutokset asiakirjojen pitämisestä yhtiön internetsivuilla niiden lähettämisen vaihtoehtona voidaan katsoa perustelluiksi.</w:t>
      </w:r>
    </w:p>
    <w:p w:rsidR="00523851" w:rsidRPr="00CC1D30" w:rsidRDefault="00523851" w:rsidP="0048008D">
      <w:pPr>
        <w:pStyle w:val="Default"/>
        <w:jc w:val="both"/>
        <w:rPr>
          <w:rFonts w:ascii="Calibri" w:hAnsi="Calibri"/>
          <w:sz w:val="22"/>
          <w:szCs w:val="22"/>
          <w:lang w:val="fi-FI"/>
        </w:rPr>
      </w:pPr>
    </w:p>
    <w:p w:rsidR="00523851" w:rsidRPr="00CC1D30" w:rsidRDefault="00523851" w:rsidP="0048008D">
      <w:pPr>
        <w:pStyle w:val="Default"/>
        <w:jc w:val="both"/>
        <w:rPr>
          <w:rFonts w:ascii="Calibri" w:hAnsi="Calibri"/>
          <w:b/>
          <w:sz w:val="22"/>
          <w:szCs w:val="22"/>
          <w:lang w:val="fi-FI"/>
        </w:rPr>
      </w:pPr>
      <w:r w:rsidRPr="00CC1D30">
        <w:rPr>
          <w:rFonts w:ascii="Calibri" w:hAnsi="Calibri"/>
          <w:sz w:val="22"/>
          <w:szCs w:val="22"/>
          <w:lang w:val="fi-FI"/>
        </w:rPr>
        <w:t>Osakeyhtiölain 5 luvun 22 §:n 1 momentti perusteella osakeyhtiölain 5 luvun 1 a §:ssä määritellyn pörssiyhtiön on pidettävä sulautumisasiakirjat yhtiön internetsivuilla osakkeenomistajien saatavana myös yhtiökokouksen jälkeen (asiakirjat on pidettävä nähtävänä vähintään kolme kuukautta sula</w:t>
      </w:r>
      <w:r w:rsidRPr="00CC1D30">
        <w:rPr>
          <w:rFonts w:ascii="Calibri" w:hAnsi="Calibri"/>
          <w:sz w:val="22"/>
          <w:szCs w:val="22"/>
          <w:lang w:val="fi-FI"/>
        </w:rPr>
        <w:t>u</w:t>
      </w:r>
      <w:r w:rsidRPr="00CC1D30">
        <w:rPr>
          <w:rFonts w:ascii="Calibri" w:hAnsi="Calibri"/>
          <w:sz w:val="22"/>
          <w:szCs w:val="22"/>
          <w:lang w:val="fi-FI"/>
        </w:rPr>
        <w:t>tumisesta päättävän kokouksen jälkeen). Sulautumisdirektiivin 11 artiklan 4. kohdan perusteella tätä sääntelyä ei ole tarvetta ulottaa yksityisiin osakeyhtiöihin.</w:t>
      </w:r>
    </w:p>
    <w:p w:rsidR="00523851" w:rsidRPr="00CC1D30" w:rsidRDefault="00523851" w:rsidP="006053CE">
      <w:pPr>
        <w:jc w:val="both"/>
        <w:rPr>
          <w:rFonts w:ascii="Calibri" w:hAnsi="Calibri"/>
          <w:sz w:val="22"/>
        </w:rPr>
      </w:pPr>
    </w:p>
    <w:p w:rsidR="00523851" w:rsidRPr="00CC1D30" w:rsidRDefault="00523851" w:rsidP="006053CE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Esitysluonnoksessa ei ole arvioitu sitä, tulisiko sääntelyyn ottaa määräyksiä siitä, mitä seuraa siitä, jos teknisestä tai muusta syystä aiheutuu häiriöitä yhtiön verkkosivustolle pääsyn osalta (sulautumisd</w:t>
      </w:r>
      <w:r w:rsidRPr="00CC1D30">
        <w:rPr>
          <w:rFonts w:ascii="Calibri" w:hAnsi="Calibri"/>
          <w:sz w:val="22"/>
        </w:rPr>
        <w:t>i</w:t>
      </w:r>
      <w:r w:rsidRPr="00CC1D30">
        <w:rPr>
          <w:rFonts w:ascii="Calibri" w:hAnsi="Calibri"/>
          <w:sz w:val="22"/>
        </w:rPr>
        <w:t>rektiivin 11 artiklan 4. kohta kolmas alakohta). Tällä kysymyksellä voidaan katsoa olevan merkitystä yhtiön johdon ja osakkeenomistajien oikeusturvan kannalta joskin sääntelyllisesti kysymys saattaa olla haasteellinen.</w:t>
      </w:r>
    </w:p>
    <w:p w:rsidR="00523851" w:rsidRPr="00CC1D30" w:rsidRDefault="00523851" w:rsidP="0072483D">
      <w:pPr>
        <w:jc w:val="both"/>
        <w:rPr>
          <w:rFonts w:ascii="Calibri" w:hAnsi="Calibri"/>
          <w:sz w:val="22"/>
        </w:rPr>
      </w:pPr>
    </w:p>
    <w:p w:rsidR="00523851" w:rsidRPr="00CC1D30" w:rsidRDefault="00523851" w:rsidP="006215BB">
      <w:pPr>
        <w:pStyle w:val="ListParagraph"/>
        <w:numPr>
          <w:ilvl w:val="1"/>
          <w:numId w:val="31"/>
        </w:numPr>
        <w:tabs>
          <w:tab w:val="left" w:pos="567"/>
        </w:tabs>
        <w:jc w:val="both"/>
        <w:rPr>
          <w:rFonts w:ascii="Calibri" w:hAnsi="Calibri"/>
          <w:sz w:val="22"/>
          <w:lang w:val="fi-FI"/>
        </w:rPr>
      </w:pPr>
      <w:r w:rsidRPr="00CC1D30">
        <w:rPr>
          <w:rFonts w:ascii="Calibri" w:hAnsi="Calibri"/>
          <w:b/>
          <w:bCs/>
          <w:sz w:val="23"/>
          <w:szCs w:val="23"/>
          <w:lang w:val="fi-FI"/>
        </w:rPr>
        <w:t>Hallituksen toimivalta vastaanottavassa yhtiössä sulautumisiin liittyen</w:t>
      </w:r>
    </w:p>
    <w:p w:rsidR="00523851" w:rsidRPr="00CC1D30" w:rsidRDefault="00523851" w:rsidP="00345136">
      <w:pPr>
        <w:jc w:val="both"/>
        <w:rPr>
          <w:rFonts w:ascii="Calibri" w:hAnsi="Calibri"/>
          <w:b/>
          <w:sz w:val="22"/>
        </w:rPr>
      </w:pPr>
    </w:p>
    <w:p w:rsidR="00523851" w:rsidRPr="00CC1D30" w:rsidRDefault="00523851" w:rsidP="00F22E2E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Sulautumisdirektiivin 25 artiklan muutoksen johdosta sulautumisdirektiivin 7 artiklan vaatimusta yhtiökokouskäsittelystä ei saa soveltaa ns. tytäryhtiösulautumisissa, mikäli osakkeenomistajille, joilla on  tietty enintään 5 % vähimmäisosuus osakkeista, on säädetty oikeus vaatia vastaanottavan yhtiön yhtiökokouksen koolle kutsumista päättämään sulautumisesta. Esitysluonnoksessa todetulla tavalla tämä tarkoittaa, että tytäryhtiösulautumisesta päättää aina tytäryhtiön hallitus. Ehdotettu muutos osakeyhtiölain 16 luvun 9 §:n 2 momentin muotoiluksi on tältä osin perusteltu.</w:t>
      </w:r>
    </w:p>
    <w:p w:rsidR="00523851" w:rsidRPr="00CC1D30" w:rsidRDefault="00523851" w:rsidP="00F22E2E">
      <w:pPr>
        <w:jc w:val="both"/>
        <w:rPr>
          <w:rFonts w:ascii="Calibri" w:hAnsi="Calibri"/>
          <w:sz w:val="22"/>
        </w:rPr>
      </w:pPr>
    </w:p>
    <w:p w:rsidR="00523851" w:rsidRPr="00CC1D30" w:rsidRDefault="00523851" w:rsidP="00F22E2E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Esitysluonnoksessa kuvatulla tavalla sulautumisdirektiivin 27 artiklan muutos edellyttää sääntelyn muuttamista pakottavaksi siten, että vastaanottavan yhtiön omistaessa vähintään 90 % sulautuvan yhtiön osakkeista ei edellä tarkoitetulla 5 % vähemmistöllä ole oikeutta vaatia sulautumiskäsittelyä vastaanottavan yhtiön yhtiökokouksessa. Ehdotettu muutos osakeyhtiölain 16 luvun 9 §:n 2 mome</w:t>
      </w:r>
      <w:r w:rsidRPr="00CC1D30">
        <w:rPr>
          <w:rFonts w:ascii="Calibri" w:hAnsi="Calibri"/>
          <w:sz w:val="22"/>
        </w:rPr>
        <w:t>n</w:t>
      </w:r>
      <w:r w:rsidRPr="00CC1D30">
        <w:rPr>
          <w:rFonts w:ascii="Calibri" w:hAnsi="Calibri"/>
          <w:sz w:val="22"/>
        </w:rPr>
        <w:t>tin muotoiluksi on tältä osin perusteltu.</w:t>
      </w:r>
    </w:p>
    <w:p w:rsidR="00523851" w:rsidRPr="00CC1D30" w:rsidRDefault="00523851" w:rsidP="00F22E2E">
      <w:pPr>
        <w:jc w:val="both"/>
        <w:rPr>
          <w:rFonts w:ascii="Calibri" w:hAnsi="Calibri"/>
          <w:sz w:val="22"/>
        </w:rPr>
      </w:pPr>
    </w:p>
    <w:p w:rsidR="00523851" w:rsidRPr="00CC1D30" w:rsidRDefault="00523851" w:rsidP="006A2BA7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Vaikka sulautumisdirektiivin soveltamisala koskee lähtökohtaisesti vain julkisia osakeyhtiöitä, voidaan Esitysluonnoksessa osakeyhtiölain 16 luvun 9 §:n sääntelyyn ehdotettuja muutoksia pitää peruste</w:t>
      </w:r>
      <w:r w:rsidRPr="00CC1D30">
        <w:rPr>
          <w:rFonts w:ascii="Calibri" w:hAnsi="Calibri"/>
          <w:sz w:val="22"/>
        </w:rPr>
        <w:t>l</w:t>
      </w:r>
      <w:r w:rsidRPr="00CC1D30">
        <w:rPr>
          <w:rFonts w:ascii="Calibri" w:hAnsi="Calibri"/>
          <w:sz w:val="22"/>
        </w:rPr>
        <w:t>tuina myös yksityisten osakeyhtiöiden sääntelyn osalta, jotta yksityisiä osakeyhtiöitä koskeva säänt</w:t>
      </w:r>
      <w:r w:rsidRPr="00CC1D30">
        <w:rPr>
          <w:rFonts w:ascii="Calibri" w:hAnsi="Calibri"/>
          <w:sz w:val="22"/>
        </w:rPr>
        <w:t>e</w:t>
      </w:r>
      <w:r w:rsidRPr="00CC1D30">
        <w:rPr>
          <w:rFonts w:ascii="Calibri" w:hAnsi="Calibri"/>
          <w:sz w:val="22"/>
        </w:rPr>
        <w:t xml:space="preserve">ly olisi julkisiin osakeyhtiöihin nähden yhdenmukaista. </w:t>
      </w:r>
    </w:p>
    <w:p w:rsidR="00523851" w:rsidRPr="00CC1D30" w:rsidRDefault="00523851" w:rsidP="00F22E2E">
      <w:pPr>
        <w:jc w:val="both"/>
        <w:rPr>
          <w:rFonts w:ascii="Calibri" w:hAnsi="Calibri"/>
          <w:sz w:val="22"/>
        </w:rPr>
      </w:pPr>
    </w:p>
    <w:p w:rsidR="00523851" w:rsidRPr="00CC1D30" w:rsidRDefault="00523851" w:rsidP="00F22E2E">
      <w:pPr>
        <w:autoSpaceDE w:val="0"/>
        <w:autoSpaceDN w:val="0"/>
        <w:adjustRightInd w:val="0"/>
        <w:spacing w:line="240" w:lineRule="auto"/>
        <w:jc w:val="both"/>
        <w:rPr>
          <w:rFonts w:ascii="Calibri" w:hAnsi="Calibri"/>
          <w:sz w:val="22"/>
        </w:rPr>
      </w:pPr>
      <w:r w:rsidRPr="00CC1D30">
        <w:rPr>
          <w:rFonts w:ascii="Calibri" w:hAnsi="Calibri" w:cs="Garamond"/>
          <w:sz w:val="22"/>
        </w:rPr>
        <w:t>Osakeyhtiölain 16 luvun 10 §:n 3 momentin mukaan sulautumisesta on ilmoitettava vastaanottavan yhtiön osakkeenomistajille samalla tavalla kuin kutsu yhtiökokoukseen toimitetaan, jos yhtiökokou</w:t>
      </w:r>
      <w:r w:rsidRPr="00CC1D30">
        <w:rPr>
          <w:rFonts w:ascii="Calibri" w:hAnsi="Calibri" w:cs="Garamond"/>
          <w:sz w:val="22"/>
        </w:rPr>
        <w:t>s</w:t>
      </w:r>
      <w:r w:rsidRPr="00CC1D30">
        <w:rPr>
          <w:rFonts w:ascii="Calibri" w:hAnsi="Calibri" w:cs="Garamond"/>
          <w:sz w:val="22"/>
        </w:rPr>
        <w:t>ta ei vastaanottavassa yhtiössä kutsuta koolle päättämään sulautumisesta. Mainitun lainkohdan m</w:t>
      </w:r>
      <w:r w:rsidRPr="00CC1D30">
        <w:rPr>
          <w:rFonts w:ascii="Calibri" w:hAnsi="Calibri" w:cs="Garamond"/>
          <w:sz w:val="22"/>
        </w:rPr>
        <w:t>u</w:t>
      </w:r>
      <w:r w:rsidRPr="00CC1D30">
        <w:rPr>
          <w:rFonts w:ascii="Calibri" w:hAnsi="Calibri" w:cs="Garamond"/>
          <w:sz w:val="22"/>
        </w:rPr>
        <w:t>kaan vastaanottavan yhtiön osakkeenomistaja voi kuukauden kuluessa ilmoituksesta kirjallisesti va</w:t>
      </w:r>
      <w:r w:rsidRPr="00CC1D30">
        <w:rPr>
          <w:rFonts w:ascii="Calibri" w:hAnsi="Calibri" w:cs="Garamond"/>
          <w:sz w:val="22"/>
        </w:rPr>
        <w:t>a</w:t>
      </w:r>
      <w:r w:rsidRPr="00CC1D30">
        <w:rPr>
          <w:rFonts w:ascii="Calibri" w:hAnsi="Calibri" w:cs="Garamond"/>
          <w:sz w:val="22"/>
        </w:rPr>
        <w:t xml:space="preserve">tia, että sulautumisesta on päätettävä yhtiökokouksessa. Osakeyhtiölain 16 luvun 10 §:n 3 momentin sääntelyn sisällön osalta olisi suositeltavaa harkita, miten </w:t>
      </w:r>
      <w:r w:rsidRPr="00CC1D30">
        <w:rPr>
          <w:rFonts w:ascii="Calibri" w:hAnsi="Calibri"/>
          <w:sz w:val="22"/>
        </w:rPr>
        <w:t xml:space="preserve">ehdotettu muutos osakeyhtiölain 16 luvun 9 §:n 2 momentin sääntelyyn suhtautuu tähän ilmoitusvelvollisuuteen osakkeenomistajille. </w:t>
      </w:r>
      <w:r w:rsidRPr="00CC1D30">
        <w:rPr>
          <w:rFonts w:ascii="Calibri" w:hAnsi="Calibri" w:cs="Garamond"/>
          <w:sz w:val="22"/>
        </w:rPr>
        <w:t>Kysymys on ainakin siitä, tuleeko ilmoitusvelvollisuus osakkeenomistajille säilyttää myös tilanteissa, joissa vastaanottavan yhtiön osakkeenomistajilla ei ehdotetun osakeyhtiölain 16 luvun 10 §:n 3 momentin perusteella ole oikeutta vaatia yhtiökokouskäsittelyä v</w:t>
      </w:r>
      <w:r w:rsidRPr="00CC1D30">
        <w:rPr>
          <w:rFonts w:ascii="Calibri" w:hAnsi="Calibri"/>
          <w:sz w:val="22"/>
        </w:rPr>
        <w:t>astaanottavan yhtiön omistaessa vähintään 90 % sulautuvan yhtiön osakkeista. Mikäli näissäkin tilanteissa ilmoitusvelvollisuus katsotaan tarkoitu</w:t>
      </w:r>
      <w:r w:rsidRPr="00CC1D30">
        <w:rPr>
          <w:rFonts w:ascii="Calibri" w:hAnsi="Calibri"/>
          <w:sz w:val="22"/>
        </w:rPr>
        <w:t>k</w:t>
      </w:r>
      <w:r w:rsidRPr="00CC1D30">
        <w:rPr>
          <w:rFonts w:ascii="Calibri" w:hAnsi="Calibri"/>
          <w:sz w:val="22"/>
        </w:rPr>
        <w:t>senmukaiseksi säilyttää, tulisi tältä osin kuitenkin säännellä, ettei näissä tilanteissa enintään 10 % vähemmistöllä ole kuitenkaan oikeutta vaatia sulautumiskäsittelyä vastaanottavan yhtiön yhtiökok</w:t>
      </w:r>
      <w:r w:rsidRPr="00CC1D30">
        <w:rPr>
          <w:rFonts w:ascii="Calibri" w:hAnsi="Calibri"/>
          <w:sz w:val="22"/>
        </w:rPr>
        <w:t>o</w:t>
      </w:r>
      <w:r w:rsidRPr="00CC1D30">
        <w:rPr>
          <w:rFonts w:ascii="Calibri" w:hAnsi="Calibri"/>
          <w:sz w:val="22"/>
        </w:rPr>
        <w:t>uksessa.</w:t>
      </w:r>
    </w:p>
    <w:p w:rsidR="00523851" w:rsidRPr="00CC1D30" w:rsidRDefault="00523851" w:rsidP="00F22E2E">
      <w:pPr>
        <w:autoSpaceDE w:val="0"/>
        <w:autoSpaceDN w:val="0"/>
        <w:adjustRightInd w:val="0"/>
        <w:spacing w:line="240" w:lineRule="auto"/>
        <w:jc w:val="both"/>
        <w:rPr>
          <w:rFonts w:ascii="Calibri" w:hAnsi="Calibri"/>
          <w:sz w:val="22"/>
        </w:rPr>
      </w:pPr>
    </w:p>
    <w:p w:rsidR="00523851" w:rsidRPr="00CC1D30" w:rsidRDefault="00523851" w:rsidP="006215BB">
      <w:pPr>
        <w:pStyle w:val="ListParagraph"/>
        <w:numPr>
          <w:ilvl w:val="1"/>
          <w:numId w:val="31"/>
        </w:numPr>
        <w:tabs>
          <w:tab w:val="left" w:pos="567"/>
        </w:tabs>
        <w:jc w:val="both"/>
        <w:rPr>
          <w:rFonts w:ascii="Calibri" w:hAnsi="Calibri"/>
          <w:b/>
          <w:sz w:val="22"/>
          <w:lang w:val="fi-FI"/>
        </w:rPr>
      </w:pPr>
      <w:r w:rsidRPr="00CC1D30">
        <w:rPr>
          <w:rFonts w:ascii="Calibri" w:hAnsi="Calibri"/>
          <w:b/>
          <w:bCs/>
          <w:sz w:val="23"/>
          <w:szCs w:val="23"/>
          <w:lang w:val="fi-FI"/>
        </w:rPr>
        <w:t>Sulautumismenettelyyn liittyvät johdon kertomukset ja ilmoitukset</w:t>
      </w:r>
    </w:p>
    <w:p w:rsidR="00523851" w:rsidRPr="00CC1D30" w:rsidRDefault="00523851" w:rsidP="00345136">
      <w:pPr>
        <w:jc w:val="both"/>
        <w:rPr>
          <w:rFonts w:ascii="Calibri" w:hAnsi="Calibri"/>
          <w:b/>
          <w:sz w:val="22"/>
        </w:rPr>
      </w:pPr>
    </w:p>
    <w:p w:rsidR="00523851" w:rsidRPr="00CC1D30" w:rsidRDefault="00523851" w:rsidP="00345136">
      <w:pPr>
        <w:pStyle w:val="Default"/>
        <w:jc w:val="both"/>
        <w:rPr>
          <w:rFonts w:ascii="Calibri" w:hAnsi="Calibri"/>
          <w:sz w:val="22"/>
          <w:szCs w:val="22"/>
          <w:lang w:val="fi-FI"/>
        </w:rPr>
      </w:pPr>
      <w:r w:rsidRPr="00CC1D30">
        <w:rPr>
          <w:rFonts w:ascii="Calibri" w:hAnsi="Calibri"/>
          <w:sz w:val="22"/>
          <w:szCs w:val="22"/>
          <w:lang w:val="fi-FI"/>
        </w:rPr>
        <w:t>Esitysluonnoksessa todetulla tavalla sulautumisdirektiivin 9 artiklan muutetussa 1 kohdassa säädetyt edellytykset on otettu huomioon osakeyhtiölain 16 luvun 3 §:n 2 momentin sääntelyssä.</w:t>
      </w:r>
    </w:p>
    <w:p w:rsidR="00523851" w:rsidRPr="00CC1D30" w:rsidRDefault="00523851" w:rsidP="00345136">
      <w:pPr>
        <w:pStyle w:val="Default"/>
        <w:jc w:val="both"/>
        <w:rPr>
          <w:rFonts w:ascii="Calibri" w:hAnsi="Calibri"/>
          <w:sz w:val="22"/>
          <w:szCs w:val="22"/>
          <w:lang w:val="fi-FI"/>
        </w:rPr>
      </w:pPr>
    </w:p>
    <w:p w:rsidR="00523851" w:rsidRPr="00CC1D30" w:rsidRDefault="00523851" w:rsidP="00345136">
      <w:pPr>
        <w:pStyle w:val="Default"/>
        <w:jc w:val="both"/>
        <w:rPr>
          <w:rFonts w:ascii="Calibri" w:hAnsi="Calibri"/>
          <w:sz w:val="22"/>
          <w:szCs w:val="22"/>
          <w:lang w:val="fi-FI"/>
        </w:rPr>
      </w:pPr>
      <w:r w:rsidRPr="00CC1D30">
        <w:rPr>
          <w:rFonts w:ascii="Calibri" w:hAnsi="Calibri"/>
          <w:sz w:val="22"/>
          <w:szCs w:val="22"/>
          <w:lang w:val="fi-FI"/>
        </w:rPr>
        <w:t>Sulautumisdirektiivin 9 artiklan uudessa 2 kohdassa säädetään jokaisen yhtiön hallinto- tai johtoel</w:t>
      </w:r>
      <w:r w:rsidRPr="00CC1D30">
        <w:rPr>
          <w:rFonts w:ascii="Calibri" w:hAnsi="Calibri"/>
          <w:sz w:val="22"/>
          <w:szCs w:val="22"/>
          <w:lang w:val="fi-FI"/>
        </w:rPr>
        <w:t>i</w:t>
      </w:r>
      <w:r w:rsidRPr="00CC1D30">
        <w:rPr>
          <w:rFonts w:ascii="Calibri" w:hAnsi="Calibri"/>
          <w:sz w:val="22"/>
          <w:szCs w:val="22"/>
          <w:lang w:val="fi-FI"/>
        </w:rPr>
        <w:t>men velvollisuudesta ilmoittaa oman yhtiön yhtiökokoukselle ja toisten sulautumiseen osallistuvien yhtiöiden hallinto- tai johtoelimille mahdollisista varojen ja vastuiden olennaisista muutoksista sula</w:t>
      </w:r>
      <w:r w:rsidRPr="00CC1D30">
        <w:rPr>
          <w:rFonts w:ascii="Calibri" w:hAnsi="Calibri"/>
          <w:sz w:val="22"/>
          <w:szCs w:val="22"/>
          <w:lang w:val="fi-FI"/>
        </w:rPr>
        <w:t>u</w:t>
      </w:r>
      <w:r w:rsidRPr="00CC1D30">
        <w:rPr>
          <w:rFonts w:ascii="Calibri" w:hAnsi="Calibri"/>
          <w:sz w:val="22"/>
          <w:szCs w:val="22"/>
          <w:lang w:val="fi-FI"/>
        </w:rPr>
        <w:t>tumissuunnitelman laatimispäivän ja yhtiökokouspäivän välillä. Sulautumisdirektiivin 9 artiklan u</w:t>
      </w:r>
      <w:r w:rsidRPr="00CC1D30">
        <w:rPr>
          <w:rFonts w:ascii="Calibri" w:hAnsi="Calibri"/>
          <w:sz w:val="22"/>
          <w:szCs w:val="22"/>
          <w:lang w:val="fi-FI"/>
        </w:rPr>
        <w:t>u</w:t>
      </w:r>
      <w:r w:rsidRPr="00CC1D30">
        <w:rPr>
          <w:rFonts w:ascii="Calibri" w:hAnsi="Calibri"/>
          <w:sz w:val="22"/>
          <w:szCs w:val="22"/>
          <w:lang w:val="fi-FI"/>
        </w:rPr>
        <w:t xml:space="preserve">dessa 3 kohdassa säädetään lisäksi siitä, että jäsenvaltiot voivat säätää, että 1 kohdassa tarkoitettua johdon kertomusta ja/tai 2 kohdassa mainittuja tietoja ei vaadita, jos sulautumiseen osallistuvien yhtiöiden kaikki osakkeenomistajat ja muiden äänioikeuden antavien arvopaperien haltijat suostuvat siihen. </w:t>
      </w:r>
    </w:p>
    <w:p w:rsidR="00523851" w:rsidRPr="00CC1D30" w:rsidRDefault="00523851" w:rsidP="00345136">
      <w:pPr>
        <w:pStyle w:val="Default"/>
        <w:jc w:val="both"/>
        <w:rPr>
          <w:rFonts w:ascii="Calibri" w:hAnsi="Calibri"/>
          <w:sz w:val="22"/>
          <w:szCs w:val="22"/>
          <w:lang w:val="fi-FI"/>
        </w:rPr>
      </w:pPr>
    </w:p>
    <w:p w:rsidR="00523851" w:rsidRPr="00CC1D30" w:rsidRDefault="00523851" w:rsidP="00BF0A9D">
      <w:pPr>
        <w:pStyle w:val="Default"/>
        <w:jc w:val="both"/>
        <w:rPr>
          <w:rFonts w:ascii="Calibri" w:hAnsi="Calibri"/>
          <w:sz w:val="22"/>
          <w:szCs w:val="22"/>
          <w:lang w:val="fi-FI"/>
        </w:rPr>
      </w:pPr>
      <w:r w:rsidRPr="00CC1D30">
        <w:rPr>
          <w:rFonts w:ascii="Calibri" w:hAnsi="Calibri"/>
          <w:sz w:val="22"/>
          <w:szCs w:val="22"/>
          <w:lang w:val="fi-FI"/>
        </w:rPr>
        <w:t>Esitysluonnoksessa todetulla tavalla nykyisessä osakeyhtiölaissa ei ole nimenomaista osakeyhtiölain tekstistä ilmenevää vaatimusta edellä tarkoitettujen muutosten ilmoittamisesta oman yhtiön yhti</w:t>
      </w:r>
      <w:r w:rsidRPr="00CC1D30">
        <w:rPr>
          <w:rFonts w:ascii="Calibri" w:hAnsi="Calibri"/>
          <w:sz w:val="22"/>
          <w:szCs w:val="22"/>
          <w:lang w:val="fi-FI"/>
        </w:rPr>
        <w:t>ö</w:t>
      </w:r>
      <w:r w:rsidRPr="00CC1D30">
        <w:rPr>
          <w:rFonts w:ascii="Calibri" w:hAnsi="Calibri"/>
          <w:sz w:val="22"/>
          <w:szCs w:val="22"/>
          <w:lang w:val="fi-FI"/>
        </w:rPr>
        <w:t>kokoukselle ja sulautumiseen osallistuville muille yhtiöille. Lienee jossain määrin epäselvää, riittävä</w:t>
      </w:r>
      <w:r w:rsidRPr="00CC1D30">
        <w:rPr>
          <w:rFonts w:ascii="Calibri" w:hAnsi="Calibri"/>
          <w:sz w:val="22"/>
          <w:szCs w:val="22"/>
          <w:lang w:val="fi-FI"/>
        </w:rPr>
        <w:t>t</w:t>
      </w:r>
      <w:r w:rsidRPr="00CC1D30">
        <w:rPr>
          <w:rFonts w:ascii="Calibri" w:hAnsi="Calibri"/>
          <w:sz w:val="22"/>
          <w:szCs w:val="22"/>
          <w:lang w:val="fi-FI"/>
        </w:rPr>
        <w:t>kö Esitysluonnoksessa esitetyt argumentit (osakeyhtiölain 1 luvun 8 §:n johdon huolellisuusvelvoll</w:t>
      </w:r>
      <w:r w:rsidRPr="00CC1D30">
        <w:rPr>
          <w:rFonts w:ascii="Calibri" w:hAnsi="Calibri"/>
          <w:sz w:val="22"/>
          <w:szCs w:val="22"/>
          <w:lang w:val="fi-FI"/>
        </w:rPr>
        <w:t>i</w:t>
      </w:r>
      <w:r w:rsidRPr="00CC1D30">
        <w:rPr>
          <w:rFonts w:ascii="Calibri" w:hAnsi="Calibri"/>
          <w:sz w:val="22"/>
          <w:szCs w:val="22"/>
          <w:lang w:val="fi-FI"/>
        </w:rPr>
        <w:t>suudesta omaa yhtiötä kohtaan, lojaliteettivelvoitteista toisia sulautumiseen osallistuvia yhtiöitä kohtaan taikka osakeyhtiölain 16 luvun sulautumissäännösten esitöistä ilmenevistä perusteista i</w:t>
      </w:r>
      <w:r w:rsidRPr="00CC1D30">
        <w:rPr>
          <w:rFonts w:ascii="Calibri" w:hAnsi="Calibri"/>
          <w:sz w:val="22"/>
          <w:szCs w:val="22"/>
          <w:lang w:val="fi-FI"/>
        </w:rPr>
        <w:t>l</w:t>
      </w:r>
      <w:r w:rsidRPr="00CC1D30">
        <w:rPr>
          <w:rFonts w:ascii="Calibri" w:hAnsi="Calibri"/>
          <w:sz w:val="22"/>
          <w:szCs w:val="22"/>
          <w:lang w:val="fi-FI"/>
        </w:rPr>
        <w:t>moittaa ko. olennaisista muutoksista) siihen, ettei sulautumisdirektiivin 9 artiklan 2 kohdassa sääde</w:t>
      </w:r>
      <w:r w:rsidRPr="00CC1D30">
        <w:rPr>
          <w:rFonts w:ascii="Calibri" w:hAnsi="Calibri"/>
          <w:sz w:val="22"/>
          <w:szCs w:val="22"/>
          <w:lang w:val="fi-FI"/>
        </w:rPr>
        <w:t>t</w:t>
      </w:r>
      <w:r w:rsidRPr="00CC1D30">
        <w:rPr>
          <w:rFonts w:ascii="Calibri" w:hAnsi="Calibri"/>
          <w:sz w:val="22"/>
          <w:szCs w:val="22"/>
          <w:lang w:val="fi-FI"/>
        </w:rPr>
        <w:t>tyä velvoittavaa vaatimusta tarvitsisi kirjata suoraan lakitekstiin. Osakeyhtiölaissa ei myöskään ole edellä mainitun sulautumisdirektiivin 9 artiklan 3 kohtaa kaikilta osin vastaavaa nimenomaista sää</w:t>
      </w:r>
      <w:r w:rsidRPr="00CC1D30">
        <w:rPr>
          <w:rFonts w:ascii="Calibri" w:hAnsi="Calibri"/>
          <w:sz w:val="22"/>
          <w:szCs w:val="22"/>
          <w:lang w:val="fi-FI"/>
        </w:rPr>
        <w:t>n</w:t>
      </w:r>
      <w:r w:rsidRPr="00CC1D30">
        <w:rPr>
          <w:rFonts w:ascii="Calibri" w:hAnsi="Calibri"/>
          <w:sz w:val="22"/>
          <w:szCs w:val="22"/>
          <w:lang w:val="fi-FI"/>
        </w:rPr>
        <w:t xml:space="preserve">nöstä, joten tämän ko. sulautumisdirektiivin kohdan sisällön kirjaaminen suoraan lakitekstiin tulisi harkittavaksi. </w:t>
      </w:r>
    </w:p>
    <w:p w:rsidR="00523851" w:rsidRPr="00CC1D30" w:rsidRDefault="00523851" w:rsidP="00345136">
      <w:pPr>
        <w:jc w:val="both"/>
        <w:rPr>
          <w:rFonts w:ascii="Calibri" w:hAnsi="Calibri"/>
          <w:b/>
          <w:sz w:val="22"/>
        </w:rPr>
      </w:pPr>
    </w:p>
    <w:p w:rsidR="00523851" w:rsidRPr="00CC1D30" w:rsidRDefault="00523851" w:rsidP="00CC1D30">
      <w:pPr>
        <w:pStyle w:val="ListParagraph"/>
        <w:numPr>
          <w:ilvl w:val="0"/>
          <w:numId w:val="31"/>
        </w:numPr>
        <w:jc w:val="both"/>
        <w:rPr>
          <w:rFonts w:ascii="Calibri" w:hAnsi="Calibri"/>
          <w:b/>
          <w:sz w:val="22"/>
          <w:lang w:val="fi-FI"/>
        </w:rPr>
      </w:pPr>
      <w:r w:rsidRPr="00CC1D30">
        <w:rPr>
          <w:rFonts w:ascii="Calibri" w:hAnsi="Calibri"/>
          <w:b/>
          <w:bCs/>
          <w:sz w:val="23"/>
          <w:szCs w:val="23"/>
          <w:lang w:val="fi-FI"/>
        </w:rPr>
        <w:t>Jakautumisdirektiivin muutokset (muutosdirektiivin 3 artikla)</w:t>
      </w:r>
    </w:p>
    <w:p w:rsidR="00523851" w:rsidRPr="00CC1D30" w:rsidRDefault="00523851" w:rsidP="00345136">
      <w:pPr>
        <w:jc w:val="both"/>
        <w:rPr>
          <w:rFonts w:ascii="Calibri" w:hAnsi="Calibri"/>
          <w:b/>
          <w:sz w:val="22"/>
        </w:rPr>
      </w:pPr>
    </w:p>
    <w:p w:rsidR="00523851" w:rsidRPr="00CC1D30" w:rsidRDefault="00523851" w:rsidP="006215BB">
      <w:pPr>
        <w:pStyle w:val="ListParagraph"/>
        <w:numPr>
          <w:ilvl w:val="1"/>
          <w:numId w:val="31"/>
        </w:numPr>
        <w:ind w:left="567" w:hanging="567"/>
        <w:jc w:val="both"/>
        <w:rPr>
          <w:rFonts w:ascii="Calibri" w:hAnsi="Calibri"/>
          <w:b/>
          <w:sz w:val="22"/>
          <w:lang w:val="fi-FI"/>
        </w:rPr>
      </w:pPr>
      <w:r w:rsidRPr="00CC1D30">
        <w:rPr>
          <w:rFonts w:ascii="Calibri" w:hAnsi="Calibri"/>
          <w:b/>
          <w:sz w:val="22"/>
          <w:lang w:val="fi-FI"/>
        </w:rPr>
        <w:t>Jakautumisasiakirjojen nähtävänä pitäminen ja toimittaminen</w:t>
      </w:r>
    </w:p>
    <w:p w:rsidR="00523851" w:rsidRPr="00CC1D30" w:rsidRDefault="00523851" w:rsidP="00345136">
      <w:pPr>
        <w:jc w:val="both"/>
        <w:rPr>
          <w:rFonts w:ascii="Calibri" w:hAnsi="Calibri"/>
          <w:b/>
          <w:sz w:val="22"/>
        </w:rPr>
      </w:pPr>
    </w:p>
    <w:p w:rsidR="00523851" w:rsidRPr="00CC1D30" w:rsidRDefault="00523851" w:rsidP="003D758A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Jakautumisdirektiivin 9 artiklaan ehdotetut muutokset vastaavat sulautumisdirektiivin 11 artiklaan ehdotettuja muutoksia, joten tässä viitataan edellä kohdassa 4.1 lausuttuun.</w:t>
      </w:r>
    </w:p>
    <w:p w:rsidR="00523851" w:rsidRPr="00CC1D30" w:rsidRDefault="00523851" w:rsidP="003D758A">
      <w:pPr>
        <w:jc w:val="both"/>
        <w:rPr>
          <w:rFonts w:ascii="Calibri" w:hAnsi="Calibri"/>
          <w:sz w:val="22"/>
        </w:rPr>
      </w:pPr>
    </w:p>
    <w:p w:rsidR="00523851" w:rsidRPr="00CC1D30" w:rsidRDefault="00523851" w:rsidP="003D758A">
      <w:pPr>
        <w:pStyle w:val="ListParagraph"/>
        <w:numPr>
          <w:ilvl w:val="1"/>
          <w:numId w:val="31"/>
        </w:numPr>
        <w:tabs>
          <w:tab w:val="left" w:pos="567"/>
        </w:tabs>
        <w:jc w:val="both"/>
        <w:rPr>
          <w:rFonts w:ascii="Calibri" w:hAnsi="Calibri"/>
          <w:b/>
          <w:sz w:val="22"/>
          <w:lang w:val="fi-FI"/>
        </w:rPr>
      </w:pPr>
      <w:r w:rsidRPr="00CC1D30">
        <w:rPr>
          <w:rFonts w:ascii="Calibri" w:hAnsi="Calibri"/>
          <w:b/>
          <w:bCs/>
          <w:sz w:val="23"/>
          <w:szCs w:val="23"/>
          <w:lang w:val="fi-FI"/>
        </w:rPr>
        <w:t>Jakautumismenettelyyn liittyvät johdon kertomukset ja ilmoitukset</w:t>
      </w:r>
    </w:p>
    <w:p w:rsidR="00523851" w:rsidRPr="00CC1D30" w:rsidRDefault="00523851" w:rsidP="003D758A">
      <w:pPr>
        <w:jc w:val="both"/>
        <w:rPr>
          <w:rFonts w:ascii="Calibri" w:hAnsi="Calibri"/>
          <w:sz w:val="22"/>
        </w:rPr>
      </w:pPr>
    </w:p>
    <w:p w:rsidR="00523851" w:rsidRPr="00CC1D30" w:rsidRDefault="00523851" w:rsidP="003D758A">
      <w:pPr>
        <w:autoSpaceDE w:val="0"/>
        <w:autoSpaceDN w:val="0"/>
        <w:adjustRightInd w:val="0"/>
        <w:spacing w:line="240" w:lineRule="auto"/>
        <w:jc w:val="both"/>
        <w:rPr>
          <w:rFonts w:ascii="Calibri" w:hAnsi="Calibri"/>
          <w:sz w:val="22"/>
        </w:rPr>
      </w:pPr>
      <w:r w:rsidRPr="00CC1D30">
        <w:rPr>
          <w:rFonts w:ascii="Calibri" w:hAnsi="Calibri" w:cs="Tahoma"/>
          <w:sz w:val="22"/>
        </w:rPr>
        <w:t xml:space="preserve">Jakautumisdirektiivin </w:t>
      </w:r>
      <w:r w:rsidRPr="00CC1D30">
        <w:rPr>
          <w:rFonts w:ascii="Calibri" w:hAnsi="Calibri"/>
          <w:sz w:val="22"/>
        </w:rPr>
        <w:t>7 artiklan 3. kohdan sääntelyn mukaan j</w:t>
      </w:r>
      <w:r w:rsidRPr="00CC1D30">
        <w:rPr>
          <w:rFonts w:ascii="Calibri" w:hAnsi="Calibri" w:cs="Tahoma"/>
          <w:sz w:val="22"/>
        </w:rPr>
        <w:t>akautuvan yhtiön hallinto- tai johtoel</w:t>
      </w:r>
      <w:r w:rsidRPr="00CC1D30">
        <w:rPr>
          <w:rFonts w:ascii="Calibri" w:hAnsi="Calibri" w:cs="Tahoma"/>
          <w:sz w:val="22"/>
        </w:rPr>
        <w:t>i</w:t>
      </w:r>
      <w:r w:rsidRPr="00CC1D30">
        <w:rPr>
          <w:rFonts w:ascii="Calibri" w:hAnsi="Calibri" w:cs="Tahoma"/>
          <w:sz w:val="22"/>
        </w:rPr>
        <w:t>men on ilmoitettava jakautuvan yhtiön yhtiökokoukselle ja vastaanottavien yhtiöiden hallinto- tai johtoelimille mahdollisista varojen ja vastuiden olennaisista muutoksista jakautumissuunnitelman laatimispäivän ja sen päivän välillä, jona jakautuvan yhtiön yhtiökokouksen on määrä päättää jaka</w:t>
      </w:r>
      <w:r w:rsidRPr="00CC1D30">
        <w:rPr>
          <w:rFonts w:ascii="Calibri" w:hAnsi="Calibri" w:cs="Tahoma"/>
          <w:sz w:val="22"/>
        </w:rPr>
        <w:t>u</w:t>
      </w:r>
      <w:r w:rsidRPr="00CC1D30">
        <w:rPr>
          <w:rFonts w:ascii="Calibri" w:hAnsi="Calibri" w:cs="Tahoma"/>
          <w:sz w:val="22"/>
        </w:rPr>
        <w:t>tumissuunnitelman hyväksymisestä, jotta viimeksi mainitut voivat ilmoittaa niistä omille yhtiök</w:t>
      </w:r>
      <w:r w:rsidRPr="00CC1D30">
        <w:rPr>
          <w:rFonts w:ascii="Calibri" w:hAnsi="Calibri" w:cs="Tahoma"/>
          <w:sz w:val="22"/>
        </w:rPr>
        <w:t>o</w:t>
      </w:r>
      <w:r w:rsidRPr="00CC1D30">
        <w:rPr>
          <w:rFonts w:ascii="Calibri" w:hAnsi="Calibri" w:cs="Tahoma"/>
          <w:sz w:val="22"/>
        </w:rPr>
        <w:t xml:space="preserve">kouksilleen. </w:t>
      </w:r>
      <w:r w:rsidRPr="00CC1D30">
        <w:rPr>
          <w:rFonts w:ascii="Calibri" w:hAnsi="Calibri"/>
          <w:sz w:val="22"/>
        </w:rPr>
        <w:t>Jakautumisdirektiivin 10 artiklassa säädetään poikkeamismahdollisuudesta tähän ilmo</w:t>
      </w:r>
      <w:r w:rsidRPr="00CC1D30">
        <w:rPr>
          <w:rFonts w:ascii="Calibri" w:hAnsi="Calibri"/>
          <w:sz w:val="22"/>
        </w:rPr>
        <w:t>i</w:t>
      </w:r>
      <w:r w:rsidRPr="00CC1D30">
        <w:rPr>
          <w:rFonts w:ascii="Calibri" w:hAnsi="Calibri"/>
          <w:sz w:val="22"/>
        </w:rPr>
        <w:t>tusvelvollisuuteen, mikäli kaikki jakautumiseen osallistuvien yhtiöiden osakkeenomistajat ja muiden äänioikeuteen oikeuttavien arvopapereiden haltijat poikkeamiseen suostuvat.</w:t>
      </w:r>
    </w:p>
    <w:p w:rsidR="00523851" w:rsidRPr="00CC1D30" w:rsidRDefault="00523851" w:rsidP="003D758A">
      <w:pPr>
        <w:autoSpaceDE w:val="0"/>
        <w:autoSpaceDN w:val="0"/>
        <w:adjustRightInd w:val="0"/>
        <w:spacing w:line="240" w:lineRule="auto"/>
        <w:jc w:val="both"/>
        <w:rPr>
          <w:rFonts w:ascii="Calibri" w:hAnsi="Calibri"/>
          <w:sz w:val="22"/>
        </w:rPr>
      </w:pPr>
    </w:p>
    <w:p w:rsidR="00523851" w:rsidRPr="00CC1D30" w:rsidRDefault="00523851" w:rsidP="003D758A">
      <w:pPr>
        <w:autoSpaceDE w:val="0"/>
        <w:autoSpaceDN w:val="0"/>
        <w:adjustRightInd w:val="0"/>
        <w:spacing w:line="240" w:lineRule="auto"/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Viitaten edellä sulautumismenettelyn osalta kohdassa 4.3. lausuttuun todettakoon, että mikäli sula</w:t>
      </w:r>
      <w:r w:rsidRPr="00CC1D30">
        <w:rPr>
          <w:rFonts w:ascii="Calibri" w:hAnsi="Calibri"/>
          <w:sz w:val="22"/>
        </w:rPr>
        <w:t>u</w:t>
      </w:r>
      <w:r w:rsidRPr="00CC1D30">
        <w:rPr>
          <w:rFonts w:ascii="Calibri" w:hAnsi="Calibri"/>
          <w:sz w:val="22"/>
        </w:rPr>
        <w:t>tumissääntelyn osalta päädytään siihen, että ilmoitusvelvoite näistä olennaisista tapahtumista tulisi kirjata lakiin, niin asiaa tulisi yhdenmukaisuuden näkökulmasta arvioida samalla tavalla myös jaka</w:t>
      </w:r>
      <w:r w:rsidRPr="00CC1D30">
        <w:rPr>
          <w:rFonts w:ascii="Calibri" w:hAnsi="Calibri"/>
          <w:sz w:val="22"/>
        </w:rPr>
        <w:t>u</w:t>
      </w:r>
      <w:r w:rsidRPr="00CC1D30">
        <w:rPr>
          <w:rFonts w:ascii="Calibri" w:hAnsi="Calibri"/>
          <w:sz w:val="22"/>
        </w:rPr>
        <w:t>tumissääntelyn osalta.</w:t>
      </w:r>
    </w:p>
    <w:p w:rsidR="00523851" w:rsidRPr="00CC1D30" w:rsidRDefault="00523851" w:rsidP="003D758A">
      <w:pPr>
        <w:jc w:val="both"/>
        <w:rPr>
          <w:rFonts w:ascii="Calibri" w:hAnsi="Calibri"/>
          <w:sz w:val="22"/>
        </w:rPr>
      </w:pPr>
    </w:p>
    <w:p w:rsidR="00523851" w:rsidRPr="00CC1D30" w:rsidRDefault="00523851" w:rsidP="0042594F">
      <w:pPr>
        <w:pStyle w:val="ListParagraph"/>
        <w:numPr>
          <w:ilvl w:val="1"/>
          <w:numId w:val="31"/>
        </w:numPr>
        <w:ind w:left="567" w:hanging="567"/>
        <w:jc w:val="both"/>
        <w:rPr>
          <w:rFonts w:ascii="Calibri" w:hAnsi="Calibri"/>
          <w:b/>
          <w:sz w:val="22"/>
          <w:lang w:val="fi-FI"/>
        </w:rPr>
      </w:pPr>
      <w:r w:rsidRPr="00CC1D30">
        <w:rPr>
          <w:rFonts w:ascii="Calibri" w:hAnsi="Calibri"/>
          <w:b/>
          <w:sz w:val="22"/>
          <w:lang w:val="fi-FI"/>
        </w:rPr>
        <w:t>Hallituksen toimivalta ”tytäryhtiöjakautumisessa” ja muut mainittua jakautumista koskevat seikat</w:t>
      </w:r>
    </w:p>
    <w:p w:rsidR="00523851" w:rsidRPr="00CC1D30" w:rsidRDefault="00523851" w:rsidP="00345136">
      <w:pPr>
        <w:jc w:val="both"/>
        <w:rPr>
          <w:rFonts w:ascii="Calibri" w:hAnsi="Calibri"/>
          <w:sz w:val="22"/>
        </w:rPr>
      </w:pPr>
    </w:p>
    <w:p w:rsidR="00523851" w:rsidRPr="00CC1D30" w:rsidRDefault="00523851" w:rsidP="00061CE0">
      <w:pPr>
        <w:pStyle w:val="Default"/>
        <w:jc w:val="both"/>
        <w:rPr>
          <w:rFonts w:ascii="Calibri" w:hAnsi="Calibri"/>
          <w:sz w:val="22"/>
          <w:szCs w:val="22"/>
          <w:lang w:val="fi-FI"/>
        </w:rPr>
      </w:pPr>
      <w:r w:rsidRPr="00CC1D30">
        <w:rPr>
          <w:rFonts w:ascii="Calibri" w:hAnsi="Calibri"/>
          <w:sz w:val="22"/>
          <w:szCs w:val="22"/>
          <w:lang w:val="fi-FI"/>
        </w:rPr>
        <w:t>Jakautumisdirektiivin muutetussa 20 artiklassa säädetään hallituksen toimivallasta päättää tietyin edellytyksin jakautumisesta jakautuvassa yhtiössä, kun vastaanottavat yhtiöt yhdessä omistavat kai</w:t>
      </w:r>
      <w:r w:rsidRPr="00CC1D30">
        <w:rPr>
          <w:rFonts w:ascii="Calibri" w:hAnsi="Calibri"/>
          <w:sz w:val="22"/>
          <w:szCs w:val="22"/>
          <w:lang w:val="fi-FI"/>
        </w:rPr>
        <w:t>k</w:t>
      </w:r>
      <w:r w:rsidRPr="00CC1D30">
        <w:rPr>
          <w:rFonts w:ascii="Calibri" w:hAnsi="Calibri"/>
          <w:sz w:val="22"/>
          <w:szCs w:val="22"/>
          <w:lang w:val="fi-FI"/>
        </w:rPr>
        <w:t>ki jakautuvan yhtiön osakkeet ja kaikki jakautuvan yhtiön muut arvopaperit, jotka oikeuttavat ääne</w:t>
      </w:r>
      <w:r w:rsidRPr="00CC1D30">
        <w:rPr>
          <w:rFonts w:ascii="Calibri" w:hAnsi="Calibri"/>
          <w:sz w:val="22"/>
          <w:szCs w:val="22"/>
          <w:lang w:val="fi-FI"/>
        </w:rPr>
        <w:t>s</w:t>
      </w:r>
      <w:r w:rsidRPr="00CC1D30">
        <w:rPr>
          <w:rFonts w:ascii="Calibri" w:hAnsi="Calibri"/>
          <w:sz w:val="22"/>
          <w:szCs w:val="22"/>
          <w:lang w:val="fi-FI"/>
        </w:rPr>
        <w:t xml:space="preserve">tämään jakautuvan yhtiön yhtiökokouksessa. Muutettu jakautumisdirektiivin 20 artikla on säädetty pakottavaan muotoon. Ehdotettu muutos osakeyhtiölain 17 luvun 9 §:n 1 momentin muotoiluksi on tältä osin perusteltu. </w:t>
      </w:r>
    </w:p>
    <w:p w:rsidR="00523851" w:rsidRPr="00CC1D30" w:rsidRDefault="00523851" w:rsidP="00061CE0">
      <w:pPr>
        <w:pStyle w:val="Default"/>
        <w:jc w:val="both"/>
        <w:rPr>
          <w:rFonts w:ascii="Calibri" w:hAnsi="Calibri"/>
          <w:sz w:val="22"/>
          <w:szCs w:val="22"/>
          <w:lang w:val="fi-FI"/>
        </w:rPr>
      </w:pPr>
    </w:p>
    <w:p w:rsidR="00523851" w:rsidRPr="00CC1D30" w:rsidRDefault="00523851" w:rsidP="00061CE0">
      <w:pPr>
        <w:pStyle w:val="Default"/>
        <w:jc w:val="both"/>
        <w:rPr>
          <w:rFonts w:ascii="Calibri" w:hAnsi="Calibri"/>
          <w:sz w:val="22"/>
          <w:szCs w:val="22"/>
          <w:lang w:val="fi-FI"/>
        </w:rPr>
      </w:pPr>
      <w:r w:rsidRPr="00CC1D30">
        <w:rPr>
          <w:rFonts w:ascii="Calibri" w:hAnsi="Calibri"/>
          <w:sz w:val="22"/>
          <w:szCs w:val="22"/>
          <w:lang w:val="fi-FI"/>
        </w:rPr>
        <w:t>Esitysluonnoksen mukaan ehdotetun osakeyhtiölain 17 luvun 9 §:n 1 momentin 2. lauseen mallina on käytetty voimassa olevan lain 16 luvun 2 §:n 2 momentista ilmenevää tytäryhtiösulautumisen määr</w:t>
      </w:r>
      <w:r w:rsidRPr="00CC1D30">
        <w:rPr>
          <w:rFonts w:ascii="Calibri" w:hAnsi="Calibri"/>
          <w:sz w:val="22"/>
          <w:szCs w:val="22"/>
          <w:lang w:val="fi-FI"/>
        </w:rPr>
        <w:t>i</w:t>
      </w:r>
      <w:r w:rsidRPr="00CC1D30">
        <w:rPr>
          <w:rFonts w:ascii="Calibri" w:hAnsi="Calibri"/>
          <w:sz w:val="22"/>
          <w:szCs w:val="22"/>
          <w:lang w:val="fi-FI"/>
        </w:rPr>
        <w:t>telmää. Vaikka tällaista ”tytäryhtiöjakautumista” ei ole osakeyhtiölaissa erikseen määritelty, on n</w:t>
      </w:r>
      <w:r w:rsidRPr="00CC1D30">
        <w:rPr>
          <w:rFonts w:ascii="Calibri" w:hAnsi="Calibri"/>
          <w:sz w:val="22"/>
          <w:szCs w:val="22"/>
          <w:lang w:val="fi-FI"/>
        </w:rPr>
        <w:t>y</w:t>
      </w:r>
      <w:r w:rsidRPr="00CC1D30">
        <w:rPr>
          <w:rFonts w:ascii="Calibri" w:hAnsi="Calibri"/>
          <w:sz w:val="22"/>
          <w:szCs w:val="22"/>
          <w:lang w:val="fi-FI"/>
        </w:rPr>
        <w:t>kyisenkin lainsäädännön mukaan yhtiöoikeudellisesti mahdollista, että yhtiö jakautuu siten, että va</w:t>
      </w:r>
      <w:r w:rsidRPr="00CC1D30">
        <w:rPr>
          <w:rFonts w:ascii="Calibri" w:hAnsi="Calibri"/>
          <w:sz w:val="22"/>
          <w:szCs w:val="22"/>
          <w:lang w:val="fi-FI"/>
        </w:rPr>
        <w:t>s</w:t>
      </w:r>
      <w:r w:rsidRPr="00CC1D30">
        <w:rPr>
          <w:rFonts w:ascii="Calibri" w:hAnsi="Calibri"/>
          <w:sz w:val="22"/>
          <w:szCs w:val="22"/>
          <w:lang w:val="fi-FI"/>
        </w:rPr>
        <w:t>taanottavana yhtiönä on emoyhtiö. Osakeyhtiölain 17 luvun 16 §:n 3 momentin mukaan vastaano</w:t>
      </w:r>
      <w:r w:rsidRPr="00CC1D30">
        <w:rPr>
          <w:rFonts w:ascii="Calibri" w:hAnsi="Calibri"/>
          <w:sz w:val="22"/>
          <w:szCs w:val="22"/>
          <w:lang w:val="fi-FI"/>
        </w:rPr>
        <w:t>t</w:t>
      </w:r>
      <w:r w:rsidRPr="00CC1D30">
        <w:rPr>
          <w:rFonts w:ascii="Calibri" w:hAnsi="Calibri"/>
          <w:sz w:val="22"/>
          <w:szCs w:val="22"/>
          <w:lang w:val="fi-FI"/>
        </w:rPr>
        <w:t>tava</w:t>
      </w:r>
      <w:r w:rsidRPr="00CC1D30">
        <w:rPr>
          <w:rFonts w:ascii="Calibri" w:hAnsi="Calibri" w:cs="Garamond"/>
          <w:sz w:val="22"/>
          <w:szCs w:val="22"/>
          <w:lang w:val="fi-FI"/>
        </w:rPr>
        <w:t>n tai jakautuvan yhtiön omistamat jakautuvan yhtiön osakkeet eivät tuota oikeutta jakautumi</w:t>
      </w:r>
      <w:r w:rsidRPr="00CC1D30">
        <w:rPr>
          <w:rFonts w:ascii="Calibri" w:hAnsi="Calibri" w:cs="Garamond"/>
          <w:sz w:val="22"/>
          <w:szCs w:val="22"/>
          <w:lang w:val="fi-FI"/>
        </w:rPr>
        <w:t>s</w:t>
      </w:r>
      <w:r w:rsidRPr="00CC1D30">
        <w:rPr>
          <w:rFonts w:ascii="Calibri" w:hAnsi="Calibri" w:cs="Garamond"/>
          <w:sz w:val="22"/>
          <w:szCs w:val="22"/>
          <w:lang w:val="fi-FI"/>
        </w:rPr>
        <w:t xml:space="preserve">vastikkeeseen. </w:t>
      </w:r>
    </w:p>
    <w:p w:rsidR="00523851" w:rsidRPr="00CC1D30" w:rsidRDefault="00523851" w:rsidP="00061CE0">
      <w:pPr>
        <w:pStyle w:val="Default"/>
        <w:jc w:val="both"/>
        <w:rPr>
          <w:rFonts w:ascii="Calibri" w:hAnsi="Calibri"/>
          <w:sz w:val="22"/>
          <w:szCs w:val="22"/>
          <w:lang w:val="fi-FI"/>
        </w:rPr>
      </w:pPr>
    </w:p>
    <w:p w:rsidR="00523851" w:rsidRPr="00CC1D30" w:rsidRDefault="00523851" w:rsidP="00061CE0">
      <w:pPr>
        <w:pStyle w:val="Default"/>
        <w:jc w:val="both"/>
        <w:rPr>
          <w:rFonts w:ascii="Calibri" w:hAnsi="Calibri"/>
          <w:sz w:val="22"/>
          <w:szCs w:val="22"/>
          <w:lang w:val="fi-FI"/>
        </w:rPr>
      </w:pPr>
      <w:r w:rsidRPr="00CC1D30">
        <w:rPr>
          <w:rFonts w:ascii="Calibri" w:hAnsi="Calibri"/>
          <w:sz w:val="22"/>
          <w:szCs w:val="22"/>
          <w:lang w:val="fi-FI"/>
        </w:rPr>
        <w:t>Elinkeinotulon verottamisesta annetun lain 52 c §:n jakautumista koskeva sääntely ei tunne edellä mainitun kaltaista ”tytäryhtiöjakautumista”.  Yhtiöoikeudellisen ja vero-oikeudellisen jakautumisk</w:t>
      </w:r>
      <w:r w:rsidRPr="00CC1D30">
        <w:rPr>
          <w:rFonts w:ascii="Calibri" w:hAnsi="Calibri"/>
          <w:sz w:val="22"/>
          <w:szCs w:val="22"/>
          <w:lang w:val="fi-FI"/>
        </w:rPr>
        <w:t>ä</w:t>
      </w:r>
      <w:r w:rsidRPr="00CC1D30">
        <w:rPr>
          <w:rFonts w:ascii="Calibri" w:hAnsi="Calibri"/>
          <w:sz w:val="22"/>
          <w:szCs w:val="22"/>
          <w:lang w:val="fi-FI"/>
        </w:rPr>
        <w:t>sitteen yhdenmukaistamiseksi olisi myös verolainsäädännön osalta perusteltua ja tärkeää selvittää mahdollisuudet säännellä elinkeinotulon verottamisesta annetun lain 52 c §:ssä jakautumismenett</w:t>
      </w:r>
      <w:r w:rsidRPr="00CC1D30">
        <w:rPr>
          <w:rFonts w:ascii="Calibri" w:hAnsi="Calibri"/>
          <w:sz w:val="22"/>
          <w:szCs w:val="22"/>
          <w:lang w:val="fi-FI"/>
        </w:rPr>
        <w:t>e</w:t>
      </w:r>
      <w:r w:rsidRPr="00CC1D30">
        <w:rPr>
          <w:rFonts w:ascii="Calibri" w:hAnsi="Calibri"/>
          <w:sz w:val="22"/>
          <w:szCs w:val="22"/>
          <w:lang w:val="fi-FI"/>
        </w:rPr>
        <w:t>lystä, jossa vastaanottavat yhtiöt yhdessä omistavat kaikki jakautuvan yhtiön osakkeet ja jossa jaka</w:t>
      </w:r>
      <w:r w:rsidRPr="00CC1D30">
        <w:rPr>
          <w:rFonts w:ascii="Calibri" w:hAnsi="Calibri"/>
          <w:sz w:val="22"/>
          <w:szCs w:val="22"/>
          <w:lang w:val="fi-FI"/>
        </w:rPr>
        <w:t>u</w:t>
      </w:r>
      <w:r w:rsidRPr="00CC1D30">
        <w:rPr>
          <w:rFonts w:ascii="Calibri" w:hAnsi="Calibri"/>
          <w:sz w:val="22"/>
          <w:szCs w:val="22"/>
          <w:lang w:val="fi-FI"/>
        </w:rPr>
        <w:t xml:space="preserve">tumisvastiketta ei edellytettäisi annettavaksi. Oikeuskäytännössä ”tytäryhtiöjakautumiseen” liittyvät kysymykset ja argumentit ovat olleet esillä esimerkiksi tapauksessa KHO 2008:65. </w:t>
      </w:r>
    </w:p>
    <w:p w:rsidR="00523851" w:rsidRPr="00CC1D30" w:rsidRDefault="00523851" w:rsidP="00061CE0">
      <w:pPr>
        <w:pStyle w:val="Default"/>
        <w:jc w:val="both"/>
        <w:rPr>
          <w:rFonts w:ascii="Calibri" w:hAnsi="Calibri"/>
          <w:sz w:val="22"/>
          <w:szCs w:val="22"/>
          <w:lang w:val="fi-FI"/>
        </w:rPr>
      </w:pPr>
    </w:p>
    <w:p w:rsidR="00523851" w:rsidRPr="00CC1D30" w:rsidRDefault="00523851" w:rsidP="00061CE0">
      <w:pPr>
        <w:pStyle w:val="Default"/>
        <w:jc w:val="both"/>
        <w:rPr>
          <w:rFonts w:ascii="Calibri" w:hAnsi="Calibri"/>
          <w:sz w:val="22"/>
          <w:szCs w:val="22"/>
          <w:lang w:val="fi-FI"/>
        </w:rPr>
      </w:pPr>
      <w:r w:rsidRPr="00CC1D30">
        <w:rPr>
          <w:rFonts w:ascii="Calibri" w:hAnsi="Calibri"/>
          <w:sz w:val="22"/>
          <w:szCs w:val="22"/>
          <w:lang w:val="fi-FI"/>
        </w:rPr>
        <w:t>Osakeyhtiölain 17 luvun 9 §:n 2 momentin muutosehdotus on perusteltu, koska se vastaa sisällöltään sulautumista koskevan päätöksenteon osalta edellä 16 luvun 9 §:n 2 momenttiin ehdotettua muuto</w:t>
      </w:r>
      <w:r w:rsidRPr="00CC1D30">
        <w:rPr>
          <w:rFonts w:ascii="Calibri" w:hAnsi="Calibri"/>
          <w:sz w:val="22"/>
          <w:szCs w:val="22"/>
          <w:lang w:val="fi-FI"/>
        </w:rPr>
        <w:t>s</w:t>
      </w:r>
      <w:r w:rsidRPr="00CC1D30">
        <w:rPr>
          <w:rFonts w:ascii="Calibri" w:hAnsi="Calibri"/>
          <w:sz w:val="22"/>
          <w:szCs w:val="22"/>
          <w:lang w:val="fi-FI"/>
        </w:rPr>
        <w:t>ta. Esitysluonnoksen mukaan tätä vähemmistöosakkeenomistajien suojaksi säädettyä osakkeenomi</w:t>
      </w:r>
      <w:r w:rsidRPr="00CC1D30">
        <w:rPr>
          <w:rFonts w:ascii="Calibri" w:hAnsi="Calibri"/>
          <w:sz w:val="22"/>
          <w:szCs w:val="22"/>
          <w:lang w:val="fi-FI"/>
        </w:rPr>
        <w:t>s</w:t>
      </w:r>
      <w:r w:rsidRPr="00CC1D30">
        <w:rPr>
          <w:rFonts w:ascii="Calibri" w:hAnsi="Calibri"/>
          <w:sz w:val="22"/>
          <w:szCs w:val="22"/>
          <w:lang w:val="fi-FI"/>
        </w:rPr>
        <w:t>tajien oikeutta vaatia yhtiökokouksen kutsumista koolle päättämään jakautumisesta ei sovelleta edellä tarkoitettuun ”tytäryhtiöjakautumiseen”, mitä voidaan myös pitää perusteltuna. Esitysluo</w:t>
      </w:r>
      <w:r w:rsidRPr="00CC1D30">
        <w:rPr>
          <w:rFonts w:ascii="Calibri" w:hAnsi="Calibri"/>
          <w:sz w:val="22"/>
          <w:szCs w:val="22"/>
          <w:lang w:val="fi-FI"/>
        </w:rPr>
        <w:t>n</w:t>
      </w:r>
      <w:r w:rsidRPr="00CC1D30">
        <w:rPr>
          <w:rFonts w:ascii="Calibri" w:hAnsi="Calibri"/>
          <w:sz w:val="22"/>
          <w:szCs w:val="22"/>
          <w:lang w:val="fi-FI"/>
        </w:rPr>
        <w:t>noksen lakiehdotuksessa osakeyhtiölain 17 luvun 9 §:n 2 momentin säännöksessä oleva määritelmä ”…</w:t>
      </w:r>
      <w:r w:rsidRPr="00CC1D30">
        <w:rPr>
          <w:rFonts w:ascii="Calibri" w:hAnsi="Calibri"/>
          <w:i/>
          <w:sz w:val="22"/>
          <w:szCs w:val="22"/>
          <w:lang w:val="fi-FI"/>
        </w:rPr>
        <w:t>sulautuvan</w:t>
      </w:r>
      <w:r w:rsidRPr="00CC1D30">
        <w:rPr>
          <w:rFonts w:ascii="Calibri" w:hAnsi="Calibri"/>
          <w:sz w:val="22"/>
          <w:szCs w:val="22"/>
          <w:lang w:val="fi-FI"/>
        </w:rPr>
        <w:t xml:space="preserve"> </w:t>
      </w:r>
      <w:r w:rsidRPr="00CC1D30">
        <w:rPr>
          <w:rFonts w:ascii="Calibri" w:hAnsi="Calibri"/>
          <w:i/>
          <w:sz w:val="22"/>
          <w:szCs w:val="22"/>
          <w:lang w:val="fi-FI"/>
        </w:rPr>
        <w:t>yhtiön</w:t>
      </w:r>
      <w:r w:rsidRPr="00CC1D30">
        <w:rPr>
          <w:rFonts w:ascii="Calibri" w:hAnsi="Calibri"/>
          <w:sz w:val="22"/>
          <w:szCs w:val="22"/>
          <w:lang w:val="fi-FI"/>
        </w:rPr>
        <w:t>…” lienee tarkoitettu kirjattavan ”…</w:t>
      </w:r>
      <w:r w:rsidRPr="00CC1D30">
        <w:rPr>
          <w:rFonts w:ascii="Calibri" w:hAnsi="Calibri"/>
          <w:i/>
          <w:sz w:val="22"/>
          <w:szCs w:val="22"/>
          <w:lang w:val="fi-FI"/>
        </w:rPr>
        <w:t>jakautuvan</w:t>
      </w:r>
      <w:r w:rsidRPr="00CC1D30">
        <w:rPr>
          <w:rFonts w:ascii="Calibri" w:hAnsi="Calibri"/>
          <w:sz w:val="22"/>
          <w:szCs w:val="22"/>
          <w:lang w:val="fi-FI"/>
        </w:rPr>
        <w:t xml:space="preserve"> </w:t>
      </w:r>
      <w:r w:rsidRPr="00CC1D30">
        <w:rPr>
          <w:rFonts w:ascii="Calibri" w:hAnsi="Calibri"/>
          <w:i/>
          <w:sz w:val="22"/>
          <w:szCs w:val="22"/>
          <w:lang w:val="fi-FI"/>
        </w:rPr>
        <w:t>yhtiön</w:t>
      </w:r>
      <w:r w:rsidRPr="00CC1D30">
        <w:rPr>
          <w:rFonts w:ascii="Calibri" w:hAnsi="Calibri"/>
          <w:sz w:val="22"/>
          <w:szCs w:val="22"/>
          <w:lang w:val="fi-FI"/>
        </w:rPr>
        <w:t>…”.</w:t>
      </w:r>
    </w:p>
    <w:p w:rsidR="00523851" w:rsidRPr="00CC1D30" w:rsidRDefault="00523851" w:rsidP="00061CE0">
      <w:pPr>
        <w:pStyle w:val="Default"/>
        <w:jc w:val="both"/>
        <w:rPr>
          <w:rFonts w:ascii="Calibri" w:hAnsi="Calibri"/>
          <w:color w:val="auto"/>
          <w:sz w:val="22"/>
          <w:szCs w:val="22"/>
          <w:lang w:val="fi-FI"/>
        </w:rPr>
      </w:pPr>
    </w:p>
    <w:p w:rsidR="00523851" w:rsidRPr="00CC1D30" w:rsidRDefault="00523851" w:rsidP="00F2617B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b/>
          <w:bCs/>
          <w:sz w:val="23"/>
          <w:szCs w:val="23"/>
        </w:rPr>
        <w:t>Kokonaisjakautuminen perustettavaan yhtiöön omistussuhteiden säilyessä muuttumattomina</w:t>
      </w:r>
    </w:p>
    <w:p w:rsidR="00523851" w:rsidRPr="00CC1D30" w:rsidRDefault="00523851" w:rsidP="00F2617B">
      <w:pPr>
        <w:jc w:val="both"/>
        <w:rPr>
          <w:rFonts w:ascii="Calibri" w:hAnsi="Calibri"/>
          <w:sz w:val="22"/>
        </w:rPr>
      </w:pPr>
    </w:p>
    <w:p w:rsidR="00523851" w:rsidRPr="00CC1D30" w:rsidRDefault="00523851" w:rsidP="00F2617B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Jakautumisdirektiivin II luvussa ja sen 22 artiklassa säädetään jakautumisesta perustettavaan yht</w:t>
      </w:r>
      <w:r w:rsidRPr="00CC1D30">
        <w:rPr>
          <w:rFonts w:ascii="Calibri" w:hAnsi="Calibri"/>
          <w:sz w:val="22"/>
        </w:rPr>
        <w:t>i</w:t>
      </w:r>
      <w:r w:rsidRPr="00CC1D30">
        <w:rPr>
          <w:rFonts w:ascii="Calibri" w:hAnsi="Calibri"/>
          <w:sz w:val="22"/>
        </w:rPr>
        <w:t xml:space="preserve">öön. Muutosdirektiivillä säädetyn jakautumisdirektiivin 22 artiklan uuden 5. kohdan mukaan </w:t>
      </w:r>
      <w:r w:rsidRPr="00CC1D30">
        <w:rPr>
          <w:rFonts w:ascii="Calibri" w:hAnsi="Calibri" w:cs="EUAlbertina"/>
          <w:color w:val="000000"/>
          <w:sz w:val="22"/>
        </w:rPr>
        <w:t>jäse</w:t>
      </w:r>
      <w:r w:rsidRPr="00CC1D30">
        <w:rPr>
          <w:rFonts w:ascii="Calibri" w:hAnsi="Calibri" w:cs="EUAlbertina"/>
          <w:color w:val="000000"/>
          <w:sz w:val="22"/>
        </w:rPr>
        <w:t>n</w:t>
      </w:r>
      <w:r w:rsidRPr="00CC1D30">
        <w:rPr>
          <w:rFonts w:ascii="Calibri" w:hAnsi="Calibri" w:cs="EUAlbertina"/>
          <w:color w:val="000000"/>
          <w:sz w:val="22"/>
        </w:rPr>
        <w:t>valtiot eivät saa asettaa 7 ja 8 artiklassa ja 9 artiklan 1 kohdan c, d ja e alakohdassa säädettyjä vaat</w:t>
      </w:r>
      <w:r w:rsidRPr="00CC1D30">
        <w:rPr>
          <w:rFonts w:ascii="Calibri" w:hAnsi="Calibri" w:cs="EUAlbertina"/>
          <w:color w:val="000000"/>
          <w:sz w:val="22"/>
        </w:rPr>
        <w:t>i</w:t>
      </w:r>
      <w:r w:rsidRPr="00CC1D30">
        <w:rPr>
          <w:rFonts w:ascii="Calibri" w:hAnsi="Calibri" w:cs="EUAlbertina"/>
          <w:color w:val="000000"/>
          <w:sz w:val="22"/>
        </w:rPr>
        <w:t>muksia, jos kunkin uuden yhtiön osakkeet jaetaan jakautuvan yhtiön osakkeenomistajille samassa suhteessa kuin niillä on oikeus tuon yhtiön pääomaan. Edellä mainituissa j</w:t>
      </w:r>
      <w:r w:rsidRPr="00CC1D30">
        <w:rPr>
          <w:rFonts w:ascii="Calibri" w:hAnsi="Calibri"/>
          <w:sz w:val="22"/>
        </w:rPr>
        <w:t>akautumisdirektiivin 7 a</w:t>
      </w:r>
      <w:r w:rsidRPr="00CC1D30">
        <w:rPr>
          <w:rFonts w:ascii="Calibri" w:hAnsi="Calibri"/>
          <w:sz w:val="22"/>
        </w:rPr>
        <w:t>r</w:t>
      </w:r>
      <w:r w:rsidRPr="00CC1D30">
        <w:rPr>
          <w:rFonts w:ascii="Calibri" w:hAnsi="Calibri"/>
          <w:sz w:val="22"/>
        </w:rPr>
        <w:t>tiklan kohdissa säädetään johdon kertomuksista (osakeyhtiölain 17 luvun 3 §), 8 artiklassa riippuma</w:t>
      </w:r>
      <w:r w:rsidRPr="00CC1D30">
        <w:rPr>
          <w:rFonts w:ascii="Calibri" w:hAnsi="Calibri"/>
          <w:sz w:val="22"/>
        </w:rPr>
        <w:t>t</w:t>
      </w:r>
      <w:r w:rsidRPr="00CC1D30">
        <w:rPr>
          <w:rFonts w:ascii="Calibri" w:hAnsi="Calibri"/>
          <w:sz w:val="22"/>
        </w:rPr>
        <w:t>toman asiantuntijan lausunnosta (osakeyhtiölain 17 luvun 4 §) ja 9 artiklassa välitilinpäätöksen, jo</w:t>
      </w:r>
      <w:r w:rsidRPr="00CC1D30">
        <w:rPr>
          <w:rFonts w:ascii="Calibri" w:hAnsi="Calibri"/>
          <w:sz w:val="22"/>
        </w:rPr>
        <w:t>h</w:t>
      </w:r>
      <w:r w:rsidRPr="00CC1D30">
        <w:rPr>
          <w:rFonts w:ascii="Calibri" w:hAnsi="Calibri"/>
          <w:sz w:val="22"/>
        </w:rPr>
        <w:t>don kertomuksen sekä riippumattoman asiantuntijan lausunnon nähtävänä pitämisestä ja lähettäm</w:t>
      </w:r>
      <w:r w:rsidRPr="00CC1D30">
        <w:rPr>
          <w:rFonts w:ascii="Calibri" w:hAnsi="Calibri"/>
          <w:sz w:val="22"/>
        </w:rPr>
        <w:t>i</w:t>
      </w:r>
      <w:r w:rsidRPr="00CC1D30">
        <w:rPr>
          <w:rFonts w:ascii="Calibri" w:hAnsi="Calibri"/>
          <w:sz w:val="22"/>
        </w:rPr>
        <w:t>sestä (osakeyhtiölain 17 luvun 11 §).</w:t>
      </w:r>
    </w:p>
    <w:p w:rsidR="00523851" w:rsidRPr="00CC1D30" w:rsidRDefault="00523851" w:rsidP="00F2617B">
      <w:pPr>
        <w:jc w:val="both"/>
        <w:rPr>
          <w:rFonts w:ascii="Calibri" w:hAnsi="Calibri"/>
          <w:sz w:val="22"/>
        </w:rPr>
      </w:pPr>
    </w:p>
    <w:p w:rsidR="00523851" w:rsidRPr="00CC1D30" w:rsidRDefault="00523851" w:rsidP="00170A52">
      <w:pPr>
        <w:jc w:val="both"/>
        <w:rPr>
          <w:rFonts w:ascii="Calibri" w:hAnsi="Calibri" w:cs="Arial"/>
          <w:sz w:val="22"/>
        </w:rPr>
      </w:pPr>
      <w:r w:rsidRPr="00CC1D30">
        <w:rPr>
          <w:rFonts w:ascii="Calibri" w:hAnsi="Calibri"/>
          <w:sz w:val="22"/>
        </w:rPr>
        <w:t>Esitysluonnoksessa osakeyhtiölain 17 luvun 3 § uuden 3 momentin sanamuodon ja sisällön osalta voidaan katsoa perustelluksi johdon kertomukseen jakautumisdirektiivin 22 artiklan 5. kohdassa sä</w:t>
      </w:r>
      <w:r w:rsidRPr="00CC1D30">
        <w:rPr>
          <w:rFonts w:ascii="Calibri" w:hAnsi="Calibri"/>
          <w:sz w:val="22"/>
        </w:rPr>
        <w:t>ä</w:t>
      </w:r>
      <w:r w:rsidRPr="00CC1D30">
        <w:rPr>
          <w:rFonts w:ascii="Calibri" w:hAnsi="Calibri"/>
          <w:sz w:val="22"/>
        </w:rPr>
        <w:t>detystä poikkeuksesta johtuen, että jakautumissuunnitelmassa ei tarvitsisi antaa selvitystä jakaut</w:t>
      </w:r>
      <w:r w:rsidRPr="00CC1D30">
        <w:rPr>
          <w:rFonts w:ascii="Calibri" w:hAnsi="Calibri"/>
          <w:sz w:val="22"/>
        </w:rPr>
        <w:t>u</w:t>
      </w:r>
      <w:r w:rsidRPr="00CC1D30">
        <w:rPr>
          <w:rFonts w:ascii="Calibri" w:hAnsi="Calibri"/>
          <w:sz w:val="22"/>
        </w:rPr>
        <w:t xml:space="preserve">misen syystä (osakeyhtiölain 17 luvun 3 §:n 2 momentin 2) kohta) tai jakautumisvastikkeeseen ja sen arviointiin </w:t>
      </w:r>
      <w:r w:rsidRPr="00CC1D30">
        <w:rPr>
          <w:rFonts w:ascii="Calibri" w:hAnsi="Calibri" w:cs="Arial"/>
          <w:sz w:val="22"/>
        </w:rPr>
        <w:t xml:space="preserve">liittyvistä seikoista (osakeyhtiölain 17 luvun 3 §:n 2 momentin 6) kohta), mikäli </w:t>
      </w:r>
      <w:r w:rsidRPr="00CC1D30">
        <w:rPr>
          <w:rFonts w:ascii="Calibri" w:hAnsi="Calibri" w:cs="Arial"/>
          <w:iCs/>
          <w:sz w:val="22"/>
        </w:rPr>
        <w:t>kaikki j</w:t>
      </w:r>
      <w:r w:rsidRPr="00CC1D30">
        <w:rPr>
          <w:rFonts w:ascii="Calibri" w:hAnsi="Calibri" w:cs="Arial"/>
          <w:iCs/>
          <w:sz w:val="22"/>
        </w:rPr>
        <w:t>a</w:t>
      </w:r>
      <w:r w:rsidRPr="00CC1D30">
        <w:rPr>
          <w:rFonts w:ascii="Calibri" w:hAnsi="Calibri" w:cs="Arial"/>
          <w:iCs/>
          <w:sz w:val="22"/>
        </w:rPr>
        <w:t>kautumiseen osallistuvien yhtiöiden osakkeenomistajat suostuvat tai kokonaisjakautumisessa peru</w:t>
      </w:r>
      <w:r w:rsidRPr="00CC1D30">
        <w:rPr>
          <w:rFonts w:ascii="Calibri" w:hAnsi="Calibri" w:cs="Arial"/>
          <w:iCs/>
          <w:sz w:val="22"/>
        </w:rPr>
        <w:t>s</w:t>
      </w:r>
      <w:r w:rsidRPr="00CC1D30">
        <w:rPr>
          <w:rFonts w:ascii="Calibri" w:hAnsi="Calibri" w:cs="Arial"/>
          <w:iCs/>
          <w:sz w:val="22"/>
        </w:rPr>
        <w:t>tettaviin yhtiöihin jokaisen vastaanottavan yhtiön kaikki osakkeet annetaan jakautumisvastikkeena jakautuvan yhtiön osakkeenomistajille heidän omistustensa suhteessa</w:t>
      </w:r>
      <w:r w:rsidRPr="00CC1D30">
        <w:rPr>
          <w:rFonts w:ascii="Calibri" w:hAnsi="Calibri" w:cs="Arial"/>
          <w:sz w:val="22"/>
        </w:rPr>
        <w:t xml:space="preserve">. </w:t>
      </w:r>
    </w:p>
    <w:p w:rsidR="00523851" w:rsidRPr="00CC1D30" w:rsidRDefault="00523851" w:rsidP="00170A52">
      <w:pPr>
        <w:jc w:val="both"/>
        <w:rPr>
          <w:rFonts w:ascii="Calibri" w:hAnsi="Calibri" w:cs="Arial"/>
          <w:sz w:val="22"/>
        </w:rPr>
      </w:pPr>
    </w:p>
    <w:p w:rsidR="00523851" w:rsidRPr="00CC1D30" w:rsidRDefault="00523851" w:rsidP="00170A52">
      <w:pPr>
        <w:jc w:val="both"/>
        <w:rPr>
          <w:rFonts w:ascii="Calibri" w:hAnsi="Calibri" w:cs="Arial"/>
          <w:sz w:val="22"/>
        </w:rPr>
      </w:pPr>
      <w:r w:rsidRPr="00CC1D30">
        <w:rPr>
          <w:rFonts w:ascii="Calibri" w:hAnsi="Calibri" w:cs="Arial"/>
          <w:sz w:val="22"/>
        </w:rPr>
        <w:t xml:space="preserve">Ehdotuksen </w:t>
      </w:r>
      <w:r w:rsidRPr="00CC1D30">
        <w:rPr>
          <w:rFonts w:ascii="Calibri" w:hAnsi="Calibri"/>
          <w:sz w:val="22"/>
        </w:rPr>
        <w:t>mukaan tällaisen edellä mainitun kokonaisjakautumisen jakautumissuunnitelman ei myöskään tarvitsisi sisältää osakeyhtiölain 17 luvun 3 §:n 2 momentin 9) kohdan muista selvitystä jakautuvan yhtiön varoista, veloista ja omasta pääomasta tai muista kohdassa mainituista seikoista. Kuitenkin v</w:t>
      </w:r>
      <w:r w:rsidRPr="00CC1D30">
        <w:rPr>
          <w:rFonts w:ascii="Calibri" w:hAnsi="Calibri" w:cs="Arial"/>
          <w:sz w:val="22"/>
        </w:rPr>
        <w:t>iittaus siihen, että osakeyhtiölain 17 luvun 3 §:n 2 momentin 9) kohdan sääntely voisi jä</w:t>
      </w:r>
      <w:r w:rsidRPr="00CC1D30">
        <w:rPr>
          <w:rFonts w:ascii="Calibri" w:hAnsi="Calibri" w:cs="Arial"/>
          <w:sz w:val="22"/>
        </w:rPr>
        <w:t>ä</w:t>
      </w:r>
      <w:r w:rsidRPr="00CC1D30">
        <w:rPr>
          <w:rFonts w:ascii="Calibri" w:hAnsi="Calibri" w:cs="Arial"/>
          <w:sz w:val="22"/>
        </w:rPr>
        <w:t>dä kokonaan soveltamatta, vaikuttaa ongelmalliselta. Mainitun 9) kohdan mukaan sulautumissuunn</w:t>
      </w:r>
      <w:r w:rsidRPr="00CC1D30">
        <w:rPr>
          <w:rFonts w:ascii="Calibri" w:hAnsi="Calibri" w:cs="Arial"/>
          <w:sz w:val="22"/>
        </w:rPr>
        <w:t>i</w:t>
      </w:r>
      <w:r w:rsidRPr="00CC1D30">
        <w:rPr>
          <w:rFonts w:ascii="Calibri" w:hAnsi="Calibri" w:cs="Arial"/>
          <w:sz w:val="22"/>
        </w:rPr>
        <w:t>telman tulee sisältää myös ehdotus jakautuvan yhtiön varojen ja velkojen jakamisesta kullekin jaka</w:t>
      </w:r>
      <w:r w:rsidRPr="00CC1D30">
        <w:rPr>
          <w:rFonts w:ascii="Calibri" w:hAnsi="Calibri" w:cs="Arial"/>
          <w:sz w:val="22"/>
        </w:rPr>
        <w:t>u</w:t>
      </w:r>
      <w:r w:rsidRPr="00CC1D30">
        <w:rPr>
          <w:rFonts w:ascii="Calibri" w:hAnsi="Calibri" w:cs="Arial"/>
          <w:sz w:val="22"/>
        </w:rPr>
        <w:t xml:space="preserve">tumiseen osallistuvalle yhtiölle. Lisäksi ko. kohta edellyttää mainittavaksi </w:t>
      </w:r>
      <w:r w:rsidRPr="00CC1D30">
        <w:rPr>
          <w:rFonts w:ascii="Calibri" w:hAnsi="Calibri" w:cs="Garamond"/>
          <w:sz w:val="22"/>
        </w:rPr>
        <w:t xml:space="preserve"> jakautumisen suunnitellu</w:t>
      </w:r>
      <w:r w:rsidRPr="00CC1D30">
        <w:rPr>
          <w:rFonts w:ascii="Calibri" w:hAnsi="Calibri" w:cs="Garamond"/>
          <w:sz w:val="22"/>
        </w:rPr>
        <w:t>s</w:t>
      </w:r>
      <w:r w:rsidRPr="00CC1D30">
        <w:rPr>
          <w:rFonts w:ascii="Calibri" w:hAnsi="Calibri" w:cs="Garamond"/>
          <w:sz w:val="22"/>
        </w:rPr>
        <w:t>ta vaikutuksesta vastaanottavan yhtiön taseeseen sekä jakautumiseen sovellettavista kirjanpidollisi</w:t>
      </w:r>
      <w:r w:rsidRPr="00CC1D30">
        <w:rPr>
          <w:rFonts w:ascii="Calibri" w:hAnsi="Calibri" w:cs="Garamond"/>
          <w:sz w:val="22"/>
        </w:rPr>
        <w:t>s</w:t>
      </w:r>
      <w:r w:rsidRPr="00CC1D30">
        <w:rPr>
          <w:rFonts w:ascii="Calibri" w:hAnsi="Calibri" w:cs="Garamond"/>
          <w:sz w:val="22"/>
        </w:rPr>
        <w:t>ta menetelmistä.</w:t>
      </w:r>
    </w:p>
    <w:p w:rsidR="00523851" w:rsidRPr="00CC1D30" w:rsidRDefault="00523851" w:rsidP="00170A52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Arial"/>
          <w:sz w:val="22"/>
        </w:rPr>
      </w:pPr>
    </w:p>
    <w:p w:rsidR="00523851" w:rsidRPr="00CC1D30" w:rsidRDefault="00523851" w:rsidP="00170A52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Arial"/>
          <w:sz w:val="22"/>
        </w:rPr>
      </w:pPr>
      <w:r w:rsidRPr="00CC1D30">
        <w:rPr>
          <w:rFonts w:ascii="Calibri" w:hAnsi="Calibri" w:cs="Arial"/>
          <w:sz w:val="22"/>
        </w:rPr>
        <w:t xml:space="preserve">Jakautumisdirektiivin 3 artiklan 2. kohdan h) kohdan mukaan jakautumissuunnitelman tulee sisältää </w:t>
      </w:r>
      <w:r w:rsidRPr="00CC1D30">
        <w:rPr>
          <w:rFonts w:ascii="Calibri" w:hAnsi="Calibri" w:cs="Tahoma"/>
          <w:sz w:val="22"/>
        </w:rPr>
        <w:t>täsmällinen kuvaus siirrettävistä varoista ja vastuista sekä niiden jakamisesta kullekin vastaanottava</w:t>
      </w:r>
      <w:r w:rsidRPr="00CC1D30">
        <w:rPr>
          <w:rFonts w:ascii="Calibri" w:hAnsi="Calibri" w:cs="Tahoma"/>
          <w:sz w:val="22"/>
        </w:rPr>
        <w:t>l</w:t>
      </w:r>
      <w:r w:rsidRPr="00CC1D30">
        <w:rPr>
          <w:rFonts w:ascii="Calibri" w:hAnsi="Calibri" w:cs="Tahoma"/>
          <w:sz w:val="22"/>
        </w:rPr>
        <w:t>le yhtiölle. Tästä vaatimuksesta ei ole säädetty jakautumisdirektiivissä tai muutosdirektiivissä poi</w:t>
      </w:r>
      <w:r w:rsidRPr="00CC1D30">
        <w:rPr>
          <w:rFonts w:ascii="Calibri" w:hAnsi="Calibri" w:cs="Tahoma"/>
          <w:sz w:val="22"/>
        </w:rPr>
        <w:t>k</w:t>
      </w:r>
      <w:r w:rsidRPr="00CC1D30">
        <w:rPr>
          <w:rFonts w:ascii="Calibri" w:hAnsi="Calibri" w:cs="Tahoma"/>
          <w:sz w:val="22"/>
        </w:rPr>
        <w:t>keamismahdollisuutta. Tällä vaatimuksella suojataan myös velkojien intressiä, joten osakkeenomist</w:t>
      </w:r>
      <w:r w:rsidRPr="00CC1D30">
        <w:rPr>
          <w:rFonts w:ascii="Calibri" w:hAnsi="Calibri" w:cs="Tahoma"/>
          <w:sz w:val="22"/>
        </w:rPr>
        <w:t>a</w:t>
      </w:r>
      <w:r w:rsidRPr="00CC1D30">
        <w:rPr>
          <w:rFonts w:ascii="Calibri" w:hAnsi="Calibri" w:cs="Tahoma"/>
          <w:sz w:val="22"/>
        </w:rPr>
        <w:t>jien suostumuksen tästä vaatimuksesta poikkeamiseen ei voitane katsoa riittävän. Lakiehdotuksessa</w:t>
      </w:r>
      <w:r w:rsidRPr="00CC1D30">
        <w:rPr>
          <w:rFonts w:ascii="Calibri" w:hAnsi="Calibri"/>
          <w:sz w:val="22"/>
        </w:rPr>
        <w:t xml:space="preserve"> osakeyhtiölain 17 luvun 3 § uuden 3 momentin sisällöksi tulisi siis huomioida ja arvioida koko </w:t>
      </w:r>
      <w:r w:rsidRPr="00CC1D30">
        <w:rPr>
          <w:rFonts w:ascii="Calibri" w:hAnsi="Calibri" w:cs="Arial"/>
          <w:sz w:val="22"/>
        </w:rPr>
        <w:t>osak</w:t>
      </w:r>
      <w:r w:rsidRPr="00CC1D30">
        <w:rPr>
          <w:rFonts w:ascii="Calibri" w:hAnsi="Calibri" w:cs="Arial"/>
          <w:sz w:val="22"/>
        </w:rPr>
        <w:t>e</w:t>
      </w:r>
      <w:r w:rsidRPr="00CC1D30">
        <w:rPr>
          <w:rFonts w:ascii="Calibri" w:hAnsi="Calibri" w:cs="Arial"/>
          <w:sz w:val="22"/>
        </w:rPr>
        <w:t>yhtiölain 17 luvun 3 §:n 2 momentin 9) kohdan sääntely.</w:t>
      </w:r>
    </w:p>
    <w:p w:rsidR="00523851" w:rsidRPr="00CC1D30" w:rsidRDefault="00523851" w:rsidP="00170A52">
      <w:pPr>
        <w:jc w:val="both"/>
        <w:rPr>
          <w:rFonts w:ascii="Calibri" w:hAnsi="Calibri"/>
          <w:sz w:val="22"/>
        </w:rPr>
      </w:pPr>
    </w:p>
    <w:p w:rsidR="00523851" w:rsidRPr="00CC1D30" w:rsidRDefault="00523851" w:rsidP="001D01C9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Esitysluonnoksessa osakeyhtiölain 17 luvun 4 §:n 2 momenttiin ehdotetaan lisäystä, jonka mukaan kokonaisjakautumisessa perustettaviin yhtiöihin tilintarkastajan lausuntoa ei tarvita lainkaan, jos kaikki vastaanottavien yhtiöiden osakkeet jaetaan samassa suhteessa kuin jakautuvan yhtiön osa</w:t>
      </w:r>
      <w:r w:rsidRPr="00CC1D30">
        <w:rPr>
          <w:rFonts w:ascii="Calibri" w:hAnsi="Calibri"/>
          <w:sz w:val="22"/>
        </w:rPr>
        <w:t>k</w:t>
      </w:r>
      <w:r w:rsidRPr="00CC1D30">
        <w:rPr>
          <w:rFonts w:ascii="Calibri" w:hAnsi="Calibri"/>
          <w:sz w:val="22"/>
        </w:rPr>
        <w:t>keenomistajat omistavat jakautumismenettelyssä purkautuvan yhtiön. Tilintarkastajan lausuntoa koskeva muutosehdotus on kokonaisjakautumisen osalta perusteltu. Muutostarvetta voitaisiin hark</w:t>
      </w:r>
      <w:r w:rsidRPr="00CC1D30">
        <w:rPr>
          <w:rFonts w:ascii="Calibri" w:hAnsi="Calibri"/>
          <w:sz w:val="22"/>
        </w:rPr>
        <w:t>i</w:t>
      </w:r>
      <w:r w:rsidRPr="00CC1D30">
        <w:rPr>
          <w:rFonts w:ascii="Calibri" w:hAnsi="Calibri"/>
          <w:sz w:val="22"/>
        </w:rPr>
        <w:t>ta myös osittaisjakautumisen osalta. Jakautumisdirektiivin 25 artiklassa säädetään, että jos jäsenva</w:t>
      </w:r>
      <w:r w:rsidRPr="00CC1D30">
        <w:rPr>
          <w:rFonts w:ascii="Calibri" w:hAnsi="Calibri"/>
          <w:sz w:val="22"/>
        </w:rPr>
        <w:t>l</w:t>
      </w:r>
      <w:r w:rsidRPr="00CC1D30">
        <w:rPr>
          <w:rFonts w:ascii="Calibri" w:hAnsi="Calibri"/>
          <w:sz w:val="22"/>
        </w:rPr>
        <w:t>tion lainsäädännössä on sallittu jakautuminen ilman, että jakautuva yhtiö lakkaa (osittaisjakautum</w:t>
      </w:r>
      <w:r w:rsidRPr="00CC1D30">
        <w:rPr>
          <w:rFonts w:ascii="Calibri" w:hAnsi="Calibri"/>
          <w:sz w:val="22"/>
        </w:rPr>
        <w:t>i</w:t>
      </w:r>
      <w:r w:rsidRPr="00CC1D30">
        <w:rPr>
          <w:rFonts w:ascii="Calibri" w:hAnsi="Calibri"/>
          <w:sz w:val="22"/>
        </w:rPr>
        <w:t>nen), niin tällaiseen jakautumiseen sovelletaan mm. mitä jakautumisdirektiivin II luvussa (Jakautum</w:t>
      </w:r>
      <w:r w:rsidRPr="00CC1D30">
        <w:rPr>
          <w:rFonts w:ascii="Calibri" w:hAnsi="Calibri"/>
          <w:sz w:val="22"/>
        </w:rPr>
        <w:t>i</w:t>
      </w:r>
      <w:r w:rsidRPr="00CC1D30">
        <w:rPr>
          <w:rFonts w:ascii="Calibri" w:hAnsi="Calibri"/>
          <w:sz w:val="22"/>
        </w:rPr>
        <w:t>nen uusia yhtiöitä perustamalla) säädetään. Jakautumisdirektiivin sääntely näyttäisi siten mahdolli</w:t>
      </w:r>
      <w:r w:rsidRPr="00CC1D30">
        <w:rPr>
          <w:rFonts w:ascii="Calibri" w:hAnsi="Calibri"/>
          <w:sz w:val="22"/>
        </w:rPr>
        <w:t>s</w:t>
      </w:r>
      <w:r w:rsidRPr="00CC1D30">
        <w:rPr>
          <w:rFonts w:ascii="Calibri" w:hAnsi="Calibri"/>
          <w:sz w:val="22"/>
        </w:rPr>
        <w:t>tavan myös sen, että tilintarkastajan lausunto voitaisiin jättää hankkimatta myös perustettavaan yhtiöön toteutettavissa osittaisjakautumisissa, joissa vastaanottavan yhtiön osakkeet annetaan j</w:t>
      </w:r>
      <w:r w:rsidRPr="00CC1D30">
        <w:rPr>
          <w:rFonts w:ascii="Calibri" w:hAnsi="Calibri"/>
          <w:sz w:val="22"/>
        </w:rPr>
        <w:t>a</w:t>
      </w:r>
      <w:r w:rsidRPr="00CC1D30">
        <w:rPr>
          <w:rFonts w:ascii="Calibri" w:hAnsi="Calibri"/>
          <w:sz w:val="22"/>
        </w:rPr>
        <w:t>kautuvan yhtiön osakkeenomistajille samassa suhteessa kuin jakautuvan yhtiön osakkeenomistajat omistavat jakautuvan yhtiön osakkeita.</w:t>
      </w:r>
    </w:p>
    <w:p w:rsidR="00523851" w:rsidRPr="00CC1D30" w:rsidRDefault="00523851" w:rsidP="001D01C9">
      <w:pPr>
        <w:jc w:val="both"/>
        <w:rPr>
          <w:rFonts w:ascii="Calibri" w:hAnsi="Calibri"/>
          <w:sz w:val="22"/>
        </w:rPr>
      </w:pPr>
    </w:p>
    <w:p w:rsidR="00523851" w:rsidRPr="00CC1D30" w:rsidRDefault="00523851" w:rsidP="001D01C9">
      <w:pPr>
        <w:jc w:val="both"/>
        <w:rPr>
          <w:rFonts w:ascii="Calibri" w:hAnsi="Calibri"/>
          <w:sz w:val="22"/>
        </w:rPr>
      </w:pPr>
      <w:r w:rsidRPr="00CC1D30">
        <w:rPr>
          <w:rFonts w:ascii="Calibri" w:hAnsi="Calibri"/>
          <w:iCs/>
          <w:sz w:val="22"/>
        </w:rPr>
        <w:t>Esitysluonnoksessa ehdotetaan muotoiltavaksi osakeyhtiölain 17 luvun 11 §:n uusi 2 momentti siten, että mikäli kaikki jakautumiseen osallistuvien yhtiöiden osakkeenomistajat suostuvat siihen tai kok</w:t>
      </w:r>
      <w:r w:rsidRPr="00CC1D30">
        <w:rPr>
          <w:rFonts w:ascii="Calibri" w:hAnsi="Calibri"/>
          <w:iCs/>
          <w:sz w:val="22"/>
        </w:rPr>
        <w:t>o</w:t>
      </w:r>
      <w:r w:rsidRPr="00CC1D30">
        <w:rPr>
          <w:rFonts w:ascii="Calibri" w:hAnsi="Calibri"/>
          <w:iCs/>
          <w:sz w:val="22"/>
        </w:rPr>
        <w:t>naisjakautumisessa perustettaviin yhtiöihin jokaisen vastaanottavan yhtiön kaikki osakkeet annetaan jakautumisvastikkeena jakautuvan yhtiön osakkeenomistajille heidän omistustensa suhteessa, ei nähtävänä pidettäviin asiakirjoihin ole tarpeen sisällyttää osakeyhtiölain 17 luvun 11 §:n 1 momentin 3) kohdassa tarkoitettua välitilinpäätöstä tai arvopaperimarkkinalain 2 luvun 5 §:ssä tarkoitettu os</w:t>
      </w:r>
      <w:r w:rsidRPr="00CC1D30">
        <w:rPr>
          <w:rFonts w:ascii="Calibri" w:hAnsi="Calibri"/>
          <w:iCs/>
          <w:sz w:val="22"/>
        </w:rPr>
        <w:t>a</w:t>
      </w:r>
      <w:r w:rsidRPr="00CC1D30">
        <w:rPr>
          <w:rFonts w:ascii="Calibri" w:hAnsi="Calibri"/>
          <w:iCs/>
          <w:sz w:val="22"/>
        </w:rPr>
        <w:t>vuosikatsausta. Viitaten edellisessä kappaleessa lausuttuun, voitaisiin myös tämän muutosehdotu</w:t>
      </w:r>
      <w:r w:rsidRPr="00CC1D30">
        <w:rPr>
          <w:rFonts w:ascii="Calibri" w:hAnsi="Calibri"/>
          <w:iCs/>
          <w:sz w:val="22"/>
        </w:rPr>
        <w:t>k</w:t>
      </w:r>
      <w:r w:rsidRPr="00CC1D30">
        <w:rPr>
          <w:rFonts w:ascii="Calibri" w:hAnsi="Calibri"/>
          <w:iCs/>
          <w:sz w:val="22"/>
        </w:rPr>
        <w:t>sen osalta arvioida mahdollisuutta ulottaa sääntely osittaisjakautumistilanteisiin.</w:t>
      </w:r>
    </w:p>
    <w:p w:rsidR="00523851" w:rsidRPr="00CC1D30" w:rsidRDefault="00523851" w:rsidP="00E83F79">
      <w:pPr>
        <w:pStyle w:val="BodyText"/>
        <w:rPr>
          <w:rFonts w:ascii="Calibri" w:hAnsi="Calibri"/>
          <w:sz w:val="22"/>
        </w:rPr>
      </w:pPr>
    </w:p>
    <w:p w:rsidR="00523851" w:rsidRPr="00CC1D30" w:rsidRDefault="00523851" w:rsidP="00E83F79">
      <w:pPr>
        <w:pStyle w:val="BodyText"/>
        <w:rPr>
          <w:rFonts w:ascii="Calibri" w:hAnsi="Calibri"/>
          <w:sz w:val="22"/>
        </w:rPr>
      </w:pPr>
    </w:p>
    <w:p w:rsidR="00523851" w:rsidRPr="00CC1D30" w:rsidRDefault="00523851" w:rsidP="00E83F79">
      <w:pPr>
        <w:pStyle w:val="BodyText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Helsingissä 4.4.2011</w:t>
      </w:r>
    </w:p>
    <w:p w:rsidR="00523851" w:rsidRPr="00CC1D30" w:rsidRDefault="00523851" w:rsidP="00E83F79">
      <w:pPr>
        <w:pStyle w:val="BodyText"/>
        <w:rPr>
          <w:rFonts w:ascii="Calibri" w:hAnsi="Calibri"/>
          <w:sz w:val="22"/>
        </w:rPr>
      </w:pPr>
    </w:p>
    <w:p w:rsidR="00523851" w:rsidRPr="00CC1D30" w:rsidRDefault="00523851" w:rsidP="00E83F79">
      <w:pPr>
        <w:pStyle w:val="BodyText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Ossi Haapaniemi</w:t>
      </w:r>
      <w:r w:rsidRPr="00CC1D30">
        <w:rPr>
          <w:rFonts w:ascii="Calibri" w:hAnsi="Calibri"/>
          <w:sz w:val="22"/>
        </w:rPr>
        <w:tab/>
      </w:r>
      <w:r w:rsidRPr="00CC1D30">
        <w:rPr>
          <w:rFonts w:ascii="Calibri" w:hAnsi="Calibri"/>
          <w:sz w:val="22"/>
        </w:rPr>
        <w:tab/>
      </w:r>
      <w:r w:rsidRPr="00CC1D30">
        <w:rPr>
          <w:rFonts w:ascii="Calibri" w:hAnsi="Calibri"/>
          <w:sz w:val="22"/>
        </w:rPr>
        <w:tab/>
        <w:t>Ola Saarinen</w:t>
      </w:r>
    </w:p>
    <w:p w:rsidR="00523851" w:rsidRPr="00CC1D30" w:rsidRDefault="00523851" w:rsidP="00E83F79">
      <w:pPr>
        <w:pStyle w:val="BodyText"/>
        <w:rPr>
          <w:rFonts w:ascii="Calibri" w:hAnsi="Calibri"/>
          <w:sz w:val="22"/>
        </w:rPr>
      </w:pPr>
      <w:r w:rsidRPr="00CC1D30">
        <w:rPr>
          <w:rFonts w:ascii="Calibri" w:hAnsi="Calibri"/>
          <w:sz w:val="22"/>
        </w:rPr>
        <w:t>Puheenjohtaja</w:t>
      </w:r>
      <w:r w:rsidRPr="00CC1D30">
        <w:rPr>
          <w:rFonts w:ascii="Calibri" w:hAnsi="Calibri"/>
          <w:sz w:val="22"/>
        </w:rPr>
        <w:tab/>
      </w:r>
      <w:r w:rsidRPr="00CC1D30">
        <w:rPr>
          <w:rFonts w:ascii="Calibri" w:hAnsi="Calibri"/>
          <w:sz w:val="22"/>
        </w:rPr>
        <w:tab/>
      </w:r>
      <w:r w:rsidRPr="00CC1D30">
        <w:rPr>
          <w:rFonts w:ascii="Calibri" w:hAnsi="Calibri"/>
          <w:sz w:val="22"/>
        </w:rPr>
        <w:tab/>
      </w:r>
      <w:r w:rsidRPr="00CC1D30">
        <w:rPr>
          <w:rFonts w:ascii="Calibri" w:hAnsi="Calibri"/>
          <w:sz w:val="22"/>
        </w:rPr>
        <w:tab/>
        <w:t>Hallituksen jäsen</w:t>
      </w:r>
    </w:p>
    <w:p w:rsidR="00523851" w:rsidRDefault="00523851" w:rsidP="00E83F79">
      <w:pPr>
        <w:pStyle w:val="BodyText"/>
        <w:rPr>
          <w:sz w:val="22"/>
        </w:rPr>
      </w:pPr>
    </w:p>
    <w:p w:rsidR="00523851" w:rsidRPr="00F25361" w:rsidRDefault="00523851" w:rsidP="00E83F79">
      <w:pPr>
        <w:pStyle w:val="BodyText"/>
        <w:rPr>
          <w:sz w:val="22"/>
        </w:rPr>
      </w:pPr>
    </w:p>
    <w:sectPr w:rsidR="00523851" w:rsidRPr="00F25361" w:rsidSect="00342B0E">
      <w:headerReference w:type="even" r:id="rId7"/>
      <w:headerReference w:type="default" r:id="rId8"/>
      <w:headerReference w:type="first" r:id="rId9"/>
      <w:pgSz w:w="11907" w:h="16839" w:code="9"/>
      <w:pgMar w:top="3136" w:right="851" w:bottom="2019" w:left="1985" w:header="104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851" w:rsidRDefault="00523851">
      <w:pPr>
        <w:spacing w:line="240" w:lineRule="auto"/>
      </w:pPr>
      <w:r>
        <w:separator/>
      </w:r>
    </w:p>
  </w:endnote>
  <w:endnote w:type="continuationSeparator" w:id="0">
    <w:p w:rsidR="00523851" w:rsidRDefault="00523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851" w:rsidRDefault="00523851">
      <w:pPr>
        <w:spacing w:line="240" w:lineRule="auto"/>
      </w:pPr>
      <w:r>
        <w:separator/>
      </w:r>
    </w:p>
  </w:footnote>
  <w:footnote w:type="continuationSeparator" w:id="0">
    <w:p w:rsidR="00523851" w:rsidRDefault="0052385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851" w:rsidRDefault="00523851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rst_page_logo" o:spid="_x0000_s2049" type="#_x0000_t75" style="position:absolute;margin-left:33.95pt;margin-top:38.65pt;width:111.1pt;height:99.9pt;z-index:251660288;visibility:visible;mso-position-horizontal-relative:page;mso-position-vertical-relative:page">
          <v:imagedata r:id="rId1" o:title=""/>
          <w10:wrap anchorx="page" anchory="page"/>
          <w10:anchorlock/>
        </v:shape>
      </w:pict>
    </w:r>
  </w:p>
  <w:tbl>
    <w:tblPr>
      <w:tblW w:w="3562" w:type="dxa"/>
      <w:tblInd w:w="5727" w:type="dxa"/>
      <w:tblLook w:val="00A0"/>
    </w:tblPr>
    <w:tblGrid>
      <w:gridCol w:w="1959"/>
      <w:gridCol w:w="1495"/>
    </w:tblGrid>
    <w:tr w:rsidR="00523851" w:rsidRPr="00D75BD2" w:rsidTr="00D75BD2">
      <w:tc>
        <w:tcPr>
          <w:tcW w:w="2067" w:type="dxa"/>
          <w:vAlign w:val="center"/>
        </w:tcPr>
        <w:p w:rsidR="00523851" w:rsidRPr="00D75BD2" w:rsidRDefault="00523851" w:rsidP="00E665B3">
          <w:pPr>
            <w:pStyle w:val="Header"/>
          </w:pPr>
        </w:p>
      </w:tc>
      <w:tc>
        <w:tcPr>
          <w:tcW w:w="1495" w:type="dxa"/>
          <w:vAlign w:val="center"/>
        </w:tcPr>
        <w:p w:rsidR="00523851" w:rsidRPr="00D75BD2" w:rsidRDefault="00523851" w:rsidP="00D75BD2">
          <w:pPr>
            <w:pStyle w:val="Footer"/>
            <w:jc w:val="right"/>
          </w:pPr>
          <w:r w:rsidRPr="00D75BD2">
            <w:rPr>
              <w:rStyle w:val="PageNumber"/>
            </w:rPr>
            <w:fldChar w:fldCharType="begin"/>
          </w:r>
          <w:r w:rsidRPr="00D75BD2">
            <w:rPr>
              <w:rStyle w:val="PageNumber"/>
            </w:rPr>
            <w:instrText xml:space="preserve"> PAGE </w:instrText>
          </w:r>
          <w:r w:rsidRPr="00D75BD2">
            <w:rPr>
              <w:rStyle w:val="PageNumber"/>
            </w:rPr>
            <w:fldChar w:fldCharType="separate"/>
          </w:r>
          <w:r w:rsidRPr="00D75BD2">
            <w:rPr>
              <w:rStyle w:val="PageNumber"/>
              <w:noProof/>
            </w:rPr>
            <w:t>2</w:t>
          </w:r>
          <w:r w:rsidRPr="00D75BD2">
            <w:rPr>
              <w:rStyle w:val="PageNumber"/>
            </w:rPr>
            <w:fldChar w:fldCharType="end"/>
          </w:r>
          <w:r w:rsidRPr="00D75BD2">
            <w:rPr>
              <w:rStyle w:val="PageNumber"/>
            </w:rPr>
            <w:t xml:space="preserve"> (</w:t>
          </w:r>
          <w:r w:rsidRPr="00D75BD2">
            <w:rPr>
              <w:rStyle w:val="PageNumber"/>
            </w:rPr>
            <w:fldChar w:fldCharType="begin"/>
          </w:r>
          <w:r w:rsidRPr="00D75BD2">
            <w:rPr>
              <w:rStyle w:val="PageNumber"/>
            </w:rPr>
            <w:instrText xml:space="preserve"> NUMPAGES </w:instrText>
          </w:r>
          <w:r w:rsidRPr="00D75BD2">
            <w:rPr>
              <w:rStyle w:val="PageNumber"/>
            </w:rPr>
            <w:fldChar w:fldCharType="separate"/>
          </w:r>
          <w:r w:rsidRPr="00D75BD2">
            <w:rPr>
              <w:rStyle w:val="PageNumber"/>
              <w:noProof/>
            </w:rPr>
            <w:t>2</w:t>
          </w:r>
          <w:r w:rsidRPr="00D75BD2">
            <w:rPr>
              <w:rStyle w:val="PageNumber"/>
            </w:rPr>
            <w:fldChar w:fldCharType="end"/>
          </w:r>
          <w:r w:rsidRPr="00D75BD2">
            <w:rPr>
              <w:rStyle w:val="PageNumber"/>
            </w:rPr>
            <w:t>)</w:t>
          </w:r>
        </w:p>
      </w:tc>
    </w:tr>
    <w:tr w:rsidR="00523851" w:rsidRPr="00D75BD2" w:rsidTr="00D75BD2">
      <w:tc>
        <w:tcPr>
          <w:tcW w:w="2067" w:type="dxa"/>
          <w:vAlign w:val="center"/>
        </w:tcPr>
        <w:p w:rsidR="00523851" w:rsidRPr="00D75BD2" w:rsidRDefault="00523851" w:rsidP="00E665B3">
          <w:pPr>
            <w:pStyle w:val="Header"/>
          </w:pPr>
        </w:p>
      </w:tc>
      <w:tc>
        <w:tcPr>
          <w:tcW w:w="1495" w:type="dxa"/>
          <w:vAlign w:val="center"/>
        </w:tcPr>
        <w:p w:rsidR="00523851" w:rsidRPr="00D75BD2" w:rsidRDefault="00523851" w:rsidP="00D75BD2">
          <w:pPr>
            <w:pStyle w:val="Footer"/>
            <w:jc w:val="right"/>
          </w:pPr>
        </w:p>
      </w:tc>
    </w:tr>
    <w:tr w:rsidR="00523851" w:rsidRPr="00D75BD2" w:rsidTr="00D75BD2">
      <w:tc>
        <w:tcPr>
          <w:tcW w:w="2067" w:type="dxa"/>
          <w:vAlign w:val="center"/>
        </w:tcPr>
        <w:p w:rsidR="00523851" w:rsidRPr="00D75BD2" w:rsidRDefault="00523851" w:rsidP="00E665B3">
          <w:pPr>
            <w:pStyle w:val="Header"/>
          </w:pPr>
        </w:p>
      </w:tc>
      <w:tc>
        <w:tcPr>
          <w:tcW w:w="1495" w:type="dxa"/>
          <w:vAlign w:val="center"/>
        </w:tcPr>
        <w:p w:rsidR="00523851" w:rsidRPr="00D75BD2" w:rsidRDefault="00523851" w:rsidP="00D75BD2">
          <w:pPr>
            <w:pStyle w:val="Footer"/>
            <w:jc w:val="right"/>
          </w:pPr>
        </w:p>
      </w:tc>
    </w:tr>
    <w:tr w:rsidR="00523851" w:rsidRPr="00D75BD2" w:rsidTr="00D75BD2">
      <w:tc>
        <w:tcPr>
          <w:tcW w:w="2067" w:type="dxa"/>
          <w:vAlign w:val="center"/>
        </w:tcPr>
        <w:p w:rsidR="00523851" w:rsidRPr="00D75BD2" w:rsidRDefault="00523851" w:rsidP="00E665B3">
          <w:pPr>
            <w:pStyle w:val="Header"/>
          </w:pPr>
        </w:p>
      </w:tc>
      <w:tc>
        <w:tcPr>
          <w:tcW w:w="1495" w:type="dxa"/>
          <w:vAlign w:val="center"/>
        </w:tcPr>
        <w:p w:rsidR="00523851" w:rsidRPr="00D75BD2" w:rsidRDefault="00523851" w:rsidP="00D75BD2">
          <w:pPr>
            <w:pStyle w:val="Footer"/>
            <w:jc w:val="right"/>
          </w:pPr>
        </w:p>
      </w:tc>
    </w:tr>
    <w:tr w:rsidR="00523851" w:rsidRPr="00D75BD2" w:rsidTr="00D75BD2">
      <w:tc>
        <w:tcPr>
          <w:tcW w:w="2067" w:type="dxa"/>
          <w:vAlign w:val="center"/>
        </w:tcPr>
        <w:p w:rsidR="00523851" w:rsidRPr="00D75BD2" w:rsidRDefault="00523851" w:rsidP="00E665B3">
          <w:pPr>
            <w:pStyle w:val="Header"/>
          </w:pPr>
        </w:p>
      </w:tc>
      <w:tc>
        <w:tcPr>
          <w:tcW w:w="1495" w:type="dxa"/>
          <w:vAlign w:val="center"/>
        </w:tcPr>
        <w:p w:rsidR="00523851" w:rsidRPr="00D75BD2" w:rsidRDefault="00523851" w:rsidP="00D75BD2">
          <w:pPr>
            <w:pStyle w:val="Footer"/>
            <w:jc w:val="right"/>
          </w:pPr>
        </w:p>
      </w:tc>
    </w:tr>
    <w:tr w:rsidR="00523851" w:rsidRPr="00D75BD2" w:rsidTr="00D75BD2">
      <w:tc>
        <w:tcPr>
          <w:tcW w:w="2067" w:type="dxa"/>
          <w:vAlign w:val="center"/>
        </w:tcPr>
        <w:p w:rsidR="00523851" w:rsidRPr="00D75BD2" w:rsidRDefault="00523851" w:rsidP="00E665B3">
          <w:pPr>
            <w:pStyle w:val="Header"/>
          </w:pPr>
        </w:p>
      </w:tc>
      <w:tc>
        <w:tcPr>
          <w:tcW w:w="1495" w:type="dxa"/>
        </w:tcPr>
        <w:p w:rsidR="00523851" w:rsidRPr="00D75BD2" w:rsidRDefault="00523851" w:rsidP="00E665B3">
          <w:pPr>
            <w:pStyle w:val="Header"/>
          </w:pPr>
        </w:p>
      </w:tc>
    </w:tr>
    <w:tr w:rsidR="00523851" w:rsidRPr="00D75BD2" w:rsidTr="00D75BD2">
      <w:tc>
        <w:tcPr>
          <w:tcW w:w="2067" w:type="dxa"/>
          <w:vAlign w:val="center"/>
        </w:tcPr>
        <w:p w:rsidR="00523851" w:rsidRPr="00D75BD2" w:rsidRDefault="00523851" w:rsidP="00E665B3"/>
      </w:tc>
      <w:tc>
        <w:tcPr>
          <w:tcW w:w="1495" w:type="dxa"/>
        </w:tcPr>
        <w:p w:rsidR="00523851" w:rsidRPr="00D75BD2" w:rsidRDefault="00523851" w:rsidP="00E665B3"/>
      </w:tc>
    </w:tr>
  </w:tbl>
  <w:p w:rsidR="00523851" w:rsidRDefault="00523851" w:rsidP="00491B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851" w:rsidRDefault="00523851">
    <w:pPr>
      <w:pStyle w:val="Header"/>
    </w:pPr>
    <w:r w:rsidRPr="00527BB1"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186.75pt;height:64.5pt;visibility:visible">
          <v:imagedata r:id="rId1" o:title=""/>
        </v:shape>
      </w:pict>
    </w:r>
  </w:p>
  <w:tbl>
    <w:tblPr>
      <w:tblW w:w="3562" w:type="dxa"/>
      <w:tblInd w:w="5727" w:type="dxa"/>
      <w:tblLook w:val="00A0"/>
    </w:tblPr>
    <w:tblGrid>
      <w:gridCol w:w="7686"/>
      <w:gridCol w:w="1495"/>
    </w:tblGrid>
    <w:tr w:rsidR="00523851" w:rsidRPr="00D75BD2" w:rsidTr="00D75BD2">
      <w:tc>
        <w:tcPr>
          <w:tcW w:w="2067" w:type="dxa"/>
          <w:vAlign w:val="center"/>
        </w:tcPr>
        <w:p w:rsidR="00523851" w:rsidRPr="00D75BD2" w:rsidRDefault="00523851" w:rsidP="00E665B3">
          <w:pPr>
            <w:pStyle w:val="Header"/>
          </w:pPr>
        </w:p>
      </w:tc>
      <w:tc>
        <w:tcPr>
          <w:tcW w:w="1495" w:type="dxa"/>
          <w:vAlign w:val="center"/>
        </w:tcPr>
        <w:p w:rsidR="00523851" w:rsidRPr="00D75BD2" w:rsidRDefault="00523851" w:rsidP="00D75BD2">
          <w:pPr>
            <w:pStyle w:val="Footer"/>
            <w:jc w:val="right"/>
          </w:pPr>
          <w:r w:rsidRPr="00D75BD2">
            <w:rPr>
              <w:rStyle w:val="PageNumber"/>
            </w:rPr>
            <w:fldChar w:fldCharType="begin"/>
          </w:r>
          <w:r w:rsidRPr="00D75BD2">
            <w:rPr>
              <w:rStyle w:val="PageNumber"/>
            </w:rPr>
            <w:instrText xml:space="preserve"> PAGE </w:instrText>
          </w:r>
          <w:r w:rsidRPr="00D75BD2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8</w:t>
          </w:r>
          <w:r w:rsidRPr="00D75BD2">
            <w:rPr>
              <w:rStyle w:val="PageNumber"/>
            </w:rPr>
            <w:fldChar w:fldCharType="end"/>
          </w:r>
          <w:r w:rsidRPr="00D75BD2">
            <w:rPr>
              <w:rStyle w:val="PageNumber"/>
            </w:rPr>
            <w:t xml:space="preserve"> (</w:t>
          </w:r>
          <w:r w:rsidRPr="00D75BD2">
            <w:rPr>
              <w:rStyle w:val="PageNumber"/>
            </w:rPr>
            <w:fldChar w:fldCharType="begin"/>
          </w:r>
          <w:r w:rsidRPr="00D75BD2">
            <w:rPr>
              <w:rStyle w:val="PageNumber"/>
            </w:rPr>
            <w:instrText xml:space="preserve"> NUMPAGES </w:instrText>
          </w:r>
          <w:r w:rsidRPr="00D75BD2">
            <w:rPr>
              <w:rStyle w:val="PageNumber"/>
            </w:rPr>
            <w:fldChar w:fldCharType="separate"/>
          </w:r>
          <w:r w:rsidRPr="00D75BD2">
            <w:rPr>
              <w:rStyle w:val="PageNumber"/>
              <w:noProof/>
            </w:rPr>
            <w:t>8</w:t>
          </w:r>
          <w:r w:rsidRPr="00D75BD2">
            <w:rPr>
              <w:rStyle w:val="PageNumber"/>
            </w:rPr>
            <w:fldChar w:fldCharType="end"/>
          </w:r>
          <w:r w:rsidRPr="00D75BD2">
            <w:rPr>
              <w:rStyle w:val="PageNumber"/>
            </w:rPr>
            <w:t>)</w:t>
          </w:r>
        </w:p>
      </w:tc>
    </w:tr>
    <w:tr w:rsidR="00523851" w:rsidRPr="00D75BD2" w:rsidTr="00D75BD2">
      <w:tc>
        <w:tcPr>
          <w:tcW w:w="2067" w:type="dxa"/>
          <w:vAlign w:val="center"/>
        </w:tcPr>
        <w:p w:rsidR="00523851" w:rsidRPr="00D75BD2" w:rsidRDefault="00523851" w:rsidP="00E665B3">
          <w:pPr>
            <w:pStyle w:val="Header"/>
          </w:pPr>
        </w:p>
      </w:tc>
      <w:tc>
        <w:tcPr>
          <w:tcW w:w="1495" w:type="dxa"/>
          <w:vAlign w:val="center"/>
        </w:tcPr>
        <w:p w:rsidR="00523851" w:rsidRPr="00D75BD2" w:rsidRDefault="00523851" w:rsidP="00D75BD2">
          <w:pPr>
            <w:pStyle w:val="Footer"/>
            <w:jc w:val="right"/>
          </w:pPr>
        </w:p>
      </w:tc>
    </w:tr>
    <w:tr w:rsidR="00523851" w:rsidRPr="00D75BD2" w:rsidTr="00D75BD2">
      <w:tc>
        <w:tcPr>
          <w:tcW w:w="2067" w:type="dxa"/>
          <w:vAlign w:val="center"/>
        </w:tcPr>
        <w:p w:rsidR="00523851" w:rsidRPr="00D75BD2" w:rsidRDefault="00523851" w:rsidP="00E665B3">
          <w:pPr>
            <w:pStyle w:val="Header"/>
          </w:pPr>
        </w:p>
      </w:tc>
      <w:tc>
        <w:tcPr>
          <w:tcW w:w="1495" w:type="dxa"/>
          <w:vAlign w:val="center"/>
        </w:tcPr>
        <w:p w:rsidR="00523851" w:rsidRPr="00D75BD2" w:rsidRDefault="00523851" w:rsidP="00D75BD2">
          <w:pPr>
            <w:pStyle w:val="Footer"/>
            <w:jc w:val="right"/>
          </w:pPr>
        </w:p>
      </w:tc>
    </w:tr>
    <w:tr w:rsidR="00523851" w:rsidRPr="00D75BD2" w:rsidTr="00D75BD2">
      <w:tc>
        <w:tcPr>
          <w:tcW w:w="2067" w:type="dxa"/>
          <w:vAlign w:val="center"/>
        </w:tcPr>
        <w:p w:rsidR="00523851" w:rsidRPr="00D75BD2" w:rsidRDefault="00523851" w:rsidP="00E665B3">
          <w:pPr>
            <w:pStyle w:val="Header"/>
          </w:pPr>
        </w:p>
      </w:tc>
      <w:tc>
        <w:tcPr>
          <w:tcW w:w="1495" w:type="dxa"/>
          <w:vAlign w:val="center"/>
        </w:tcPr>
        <w:p w:rsidR="00523851" w:rsidRPr="00D75BD2" w:rsidRDefault="00523851" w:rsidP="00D75BD2">
          <w:pPr>
            <w:pStyle w:val="Footer"/>
            <w:jc w:val="right"/>
          </w:pPr>
        </w:p>
      </w:tc>
    </w:tr>
    <w:tr w:rsidR="00523851" w:rsidRPr="00D75BD2" w:rsidTr="00D75BD2">
      <w:tc>
        <w:tcPr>
          <w:tcW w:w="2067" w:type="dxa"/>
          <w:vAlign w:val="center"/>
        </w:tcPr>
        <w:p w:rsidR="00523851" w:rsidRPr="00D75BD2" w:rsidRDefault="00523851" w:rsidP="00E665B3">
          <w:pPr>
            <w:pStyle w:val="Header"/>
          </w:pPr>
        </w:p>
      </w:tc>
      <w:tc>
        <w:tcPr>
          <w:tcW w:w="1495" w:type="dxa"/>
          <w:vAlign w:val="center"/>
        </w:tcPr>
        <w:p w:rsidR="00523851" w:rsidRPr="00D75BD2" w:rsidRDefault="00523851" w:rsidP="00D75BD2">
          <w:pPr>
            <w:pStyle w:val="Footer"/>
            <w:jc w:val="right"/>
          </w:pPr>
        </w:p>
      </w:tc>
    </w:tr>
    <w:tr w:rsidR="00523851" w:rsidRPr="00D75BD2" w:rsidTr="00D75BD2">
      <w:tc>
        <w:tcPr>
          <w:tcW w:w="2067" w:type="dxa"/>
          <w:vAlign w:val="center"/>
        </w:tcPr>
        <w:p w:rsidR="00523851" w:rsidRPr="00D75BD2" w:rsidRDefault="00523851" w:rsidP="00E665B3">
          <w:pPr>
            <w:pStyle w:val="Header"/>
          </w:pPr>
        </w:p>
      </w:tc>
      <w:tc>
        <w:tcPr>
          <w:tcW w:w="1495" w:type="dxa"/>
        </w:tcPr>
        <w:p w:rsidR="00523851" w:rsidRPr="00D75BD2" w:rsidRDefault="00523851" w:rsidP="00E665B3">
          <w:pPr>
            <w:pStyle w:val="Header"/>
          </w:pPr>
        </w:p>
      </w:tc>
    </w:tr>
    <w:tr w:rsidR="00523851" w:rsidRPr="00D75BD2" w:rsidTr="00D75BD2">
      <w:tc>
        <w:tcPr>
          <w:tcW w:w="2067" w:type="dxa"/>
          <w:vAlign w:val="center"/>
        </w:tcPr>
        <w:p w:rsidR="00523851" w:rsidRPr="00D75BD2" w:rsidRDefault="00523851" w:rsidP="00E665B3"/>
      </w:tc>
      <w:tc>
        <w:tcPr>
          <w:tcW w:w="1495" w:type="dxa"/>
        </w:tcPr>
        <w:p w:rsidR="00523851" w:rsidRPr="00D75BD2" w:rsidRDefault="00523851" w:rsidP="00E665B3"/>
      </w:tc>
    </w:tr>
  </w:tbl>
  <w:p w:rsidR="00523851" w:rsidRDefault="0052385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735" w:type="dxa"/>
      <w:tblInd w:w="5194" w:type="dxa"/>
      <w:tblLook w:val="00A0"/>
    </w:tblPr>
    <w:tblGrid>
      <w:gridCol w:w="7797"/>
      <w:gridCol w:w="1024"/>
    </w:tblGrid>
    <w:tr w:rsidR="00523851" w:rsidRPr="00D75BD2" w:rsidTr="00D75BD2">
      <w:tc>
        <w:tcPr>
          <w:tcW w:w="2711" w:type="dxa"/>
          <w:vAlign w:val="center"/>
        </w:tcPr>
        <w:p w:rsidR="00523851" w:rsidRPr="00D75BD2" w:rsidRDefault="00523851" w:rsidP="00E665B3">
          <w:pPr>
            <w:pStyle w:val="Header"/>
          </w:pPr>
          <w:bookmarkStart w:id="3" w:name="docTitle"/>
          <w:bookmarkEnd w:id="3"/>
        </w:p>
      </w:tc>
      <w:tc>
        <w:tcPr>
          <w:tcW w:w="1024" w:type="dxa"/>
          <w:vAlign w:val="center"/>
        </w:tcPr>
        <w:p w:rsidR="00523851" w:rsidRPr="00D75BD2" w:rsidRDefault="00523851" w:rsidP="00D75BD2">
          <w:pPr>
            <w:pStyle w:val="Footer"/>
            <w:jc w:val="right"/>
          </w:pPr>
          <w:r w:rsidRPr="00D75BD2">
            <w:rPr>
              <w:rStyle w:val="PageNumber"/>
            </w:rPr>
            <w:fldChar w:fldCharType="begin"/>
          </w:r>
          <w:r w:rsidRPr="00D75BD2">
            <w:rPr>
              <w:rStyle w:val="PageNumber"/>
            </w:rPr>
            <w:instrText xml:space="preserve"> PAGE </w:instrText>
          </w:r>
          <w:r w:rsidRPr="00D75BD2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D75BD2">
            <w:rPr>
              <w:rStyle w:val="PageNumber"/>
            </w:rPr>
            <w:fldChar w:fldCharType="end"/>
          </w:r>
          <w:r w:rsidRPr="00D75BD2">
            <w:rPr>
              <w:rStyle w:val="PageNumber"/>
            </w:rPr>
            <w:t xml:space="preserve"> (</w:t>
          </w:r>
          <w:r w:rsidRPr="00D75BD2">
            <w:rPr>
              <w:rStyle w:val="PageNumber"/>
            </w:rPr>
            <w:fldChar w:fldCharType="begin"/>
          </w:r>
          <w:r w:rsidRPr="00D75BD2">
            <w:rPr>
              <w:rStyle w:val="PageNumber"/>
            </w:rPr>
            <w:instrText xml:space="preserve"> NUMPAGES </w:instrText>
          </w:r>
          <w:r w:rsidRPr="00D75BD2">
            <w:rPr>
              <w:rStyle w:val="PageNumber"/>
            </w:rPr>
            <w:fldChar w:fldCharType="separate"/>
          </w:r>
          <w:r w:rsidRPr="00D75BD2">
            <w:rPr>
              <w:rStyle w:val="PageNumber"/>
              <w:noProof/>
            </w:rPr>
            <w:t>8</w:t>
          </w:r>
          <w:r w:rsidRPr="00D75BD2">
            <w:rPr>
              <w:rStyle w:val="PageNumber"/>
            </w:rPr>
            <w:fldChar w:fldCharType="end"/>
          </w:r>
          <w:r w:rsidRPr="00D75BD2">
            <w:rPr>
              <w:rStyle w:val="PageNumber"/>
            </w:rPr>
            <w:t>)</w:t>
          </w:r>
        </w:p>
      </w:tc>
    </w:tr>
    <w:tr w:rsidR="00523851" w:rsidRPr="00D75BD2" w:rsidTr="00D75BD2">
      <w:tc>
        <w:tcPr>
          <w:tcW w:w="2711" w:type="dxa"/>
          <w:vAlign w:val="center"/>
        </w:tcPr>
        <w:p w:rsidR="00523851" w:rsidRPr="00D75BD2" w:rsidRDefault="00523851" w:rsidP="00E665B3">
          <w:pPr>
            <w:pStyle w:val="Header"/>
          </w:pPr>
        </w:p>
      </w:tc>
      <w:tc>
        <w:tcPr>
          <w:tcW w:w="1024" w:type="dxa"/>
          <w:vAlign w:val="center"/>
        </w:tcPr>
        <w:p w:rsidR="00523851" w:rsidRPr="00D75BD2" w:rsidRDefault="00523851" w:rsidP="00D75BD2">
          <w:pPr>
            <w:pStyle w:val="Footer"/>
            <w:jc w:val="right"/>
          </w:pPr>
        </w:p>
      </w:tc>
    </w:tr>
    <w:tr w:rsidR="00523851" w:rsidRPr="00D75BD2" w:rsidTr="00D75BD2">
      <w:tc>
        <w:tcPr>
          <w:tcW w:w="2711" w:type="dxa"/>
          <w:vAlign w:val="center"/>
        </w:tcPr>
        <w:p w:rsidR="00523851" w:rsidRPr="00D75BD2" w:rsidRDefault="00523851" w:rsidP="00E665B3">
          <w:pPr>
            <w:pStyle w:val="Header"/>
          </w:pPr>
        </w:p>
      </w:tc>
      <w:tc>
        <w:tcPr>
          <w:tcW w:w="1024" w:type="dxa"/>
          <w:vAlign w:val="center"/>
        </w:tcPr>
        <w:p w:rsidR="00523851" w:rsidRPr="00D75BD2" w:rsidRDefault="00523851" w:rsidP="00D75BD2">
          <w:pPr>
            <w:pStyle w:val="Footer"/>
            <w:jc w:val="right"/>
          </w:pPr>
        </w:p>
      </w:tc>
    </w:tr>
    <w:tr w:rsidR="00523851" w:rsidRPr="00D75BD2" w:rsidTr="00D75BD2">
      <w:tc>
        <w:tcPr>
          <w:tcW w:w="2711" w:type="dxa"/>
          <w:vAlign w:val="center"/>
        </w:tcPr>
        <w:p w:rsidR="00523851" w:rsidRPr="00D75BD2" w:rsidRDefault="00523851" w:rsidP="00E665B3">
          <w:pPr>
            <w:pStyle w:val="Header"/>
          </w:pPr>
        </w:p>
      </w:tc>
      <w:tc>
        <w:tcPr>
          <w:tcW w:w="1024" w:type="dxa"/>
        </w:tcPr>
        <w:p w:rsidR="00523851" w:rsidRPr="00D75BD2" w:rsidRDefault="00523851" w:rsidP="00E665B3">
          <w:pPr>
            <w:pStyle w:val="Header"/>
          </w:pPr>
        </w:p>
      </w:tc>
    </w:tr>
    <w:tr w:rsidR="00523851" w:rsidRPr="00D75BD2" w:rsidTr="00D75BD2">
      <w:tc>
        <w:tcPr>
          <w:tcW w:w="2711" w:type="dxa"/>
          <w:vAlign w:val="center"/>
        </w:tcPr>
        <w:p w:rsidR="00523851" w:rsidRPr="00D75BD2" w:rsidRDefault="00523851" w:rsidP="00E73161">
          <w:pPr>
            <w:rPr>
              <w:rFonts w:ascii="Calibri" w:hAnsi="Calibri"/>
            </w:rPr>
          </w:pPr>
          <w:bookmarkStart w:id="4" w:name="amebaDate"/>
          <w:r w:rsidRPr="00D75BD2">
            <w:rPr>
              <w:rFonts w:ascii="Calibri" w:hAnsi="Calibri"/>
            </w:rPr>
            <w:t>Lausunto 4.4.2011</w:t>
          </w:r>
          <w:bookmarkEnd w:id="4"/>
        </w:p>
      </w:tc>
      <w:tc>
        <w:tcPr>
          <w:tcW w:w="1024" w:type="dxa"/>
        </w:tcPr>
        <w:p w:rsidR="00523851" w:rsidRPr="00D75BD2" w:rsidRDefault="00523851" w:rsidP="00E665B3"/>
      </w:tc>
    </w:tr>
  </w:tbl>
  <w:p w:rsidR="00523851" w:rsidRDefault="00523851" w:rsidP="00217427">
    <w:pPr>
      <w:pStyle w:val="Header"/>
    </w:pPr>
    <w:r w:rsidRPr="00527BB1"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86.75pt;height:64.5pt;visibility:visible">
          <v:imagedata r:id="rId1" o:title=""/>
        </v:shape>
      </w:pict>
    </w:r>
  </w:p>
  <w:p w:rsidR="00523851" w:rsidRDefault="00523851" w:rsidP="00940BA1">
    <w:pPr>
      <w:pStyle w:val="PREPRINT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3BA2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F1AC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33038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39E97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0D4DD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E0BB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241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67E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A41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AAF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074447"/>
    <w:multiLevelType w:val="multilevel"/>
    <w:tmpl w:val="2E0626B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0B2B11DC"/>
    <w:multiLevelType w:val="hybridMultilevel"/>
    <w:tmpl w:val="6FFC9E20"/>
    <w:lvl w:ilvl="0" w:tplc="8FD2CCE2">
      <w:numFmt w:val="bullet"/>
      <w:lvlText w:val="-"/>
      <w:lvlJc w:val="left"/>
      <w:pPr>
        <w:ind w:left="36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8552E77"/>
    <w:multiLevelType w:val="hybridMultilevel"/>
    <w:tmpl w:val="95AC4C98"/>
    <w:lvl w:ilvl="0" w:tplc="87CC3B3E">
      <w:start w:val="1"/>
      <w:numFmt w:val="bullet"/>
      <w:pStyle w:val="ListBullet3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1" w:tplc="040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8905486"/>
    <w:multiLevelType w:val="multilevel"/>
    <w:tmpl w:val="EB1C10D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pStyle w:val="ListBullet4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14">
    <w:nsid w:val="3A57486E"/>
    <w:multiLevelType w:val="multilevel"/>
    <w:tmpl w:val="EE3860A0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15">
    <w:nsid w:val="3A6F6DFE"/>
    <w:multiLevelType w:val="multilevel"/>
    <w:tmpl w:val="EB1C0FE2"/>
    <w:styleLink w:val="PwCheadings"/>
    <w:lvl w:ilvl="0">
      <w:start w:val="1"/>
      <w:numFmt w:val="decimal"/>
      <w:lvlText w:val="%1"/>
      <w:lvlJc w:val="left"/>
      <w:pPr>
        <w:ind w:left="454" w:hanging="454"/>
      </w:pPr>
      <w:rPr>
        <w:rFonts w:ascii="Georgia" w:hAnsi="Georgia" w:cs="Times New Roman" w:hint="default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>
    <w:nsid w:val="3E516241"/>
    <w:multiLevelType w:val="multilevel"/>
    <w:tmpl w:val="CD4C98AE"/>
    <w:styleLink w:val="Bullet-list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17">
    <w:nsid w:val="3EC36D1A"/>
    <w:multiLevelType w:val="hybridMultilevel"/>
    <w:tmpl w:val="8D9AD0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DC7FDF"/>
    <w:multiLevelType w:val="hybridMultilevel"/>
    <w:tmpl w:val="C7DAA17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D1027DD"/>
    <w:multiLevelType w:val="multilevel"/>
    <w:tmpl w:val="C05ABFB8"/>
    <w:numStyleLink w:val="Style1"/>
  </w:abstractNum>
  <w:abstractNum w:abstractNumId="20">
    <w:nsid w:val="59543105"/>
    <w:multiLevelType w:val="multilevel"/>
    <w:tmpl w:val="EE3860A0"/>
    <w:styleLink w:val="Numerointilist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21">
    <w:nsid w:val="687A6EC0"/>
    <w:multiLevelType w:val="multilevel"/>
    <w:tmpl w:val="C05ABFB8"/>
    <w:styleLink w:val="Style1"/>
    <w:lvl w:ilvl="0">
      <w:start w:val="1"/>
      <w:numFmt w:val="decimal"/>
      <w:lvlText w:val="%1"/>
      <w:lvlJc w:val="left"/>
      <w:pPr>
        <w:ind w:left="340" w:hanging="34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>
    <w:nsid w:val="7A3D4045"/>
    <w:multiLevelType w:val="hybridMultilevel"/>
    <w:tmpl w:val="8E68B62E"/>
    <w:lvl w:ilvl="0" w:tplc="7C02FEC8">
      <w:start w:val="1"/>
      <w:numFmt w:val="decimal"/>
      <w:lvlText w:val="%1.2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21"/>
  </w:num>
  <w:num w:numId="23">
    <w:abstractNumId w:val="19"/>
  </w:num>
  <w:num w:numId="24">
    <w:abstractNumId w:val="16"/>
  </w:num>
  <w:num w:numId="25">
    <w:abstractNumId w:val="20"/>
  </w:num>
  <w:num w:numId="26">
    <w:abstractNumId w:val="12"/>
  </w:num>
  <w:num w:numId="27">
    <w:abstractNumId w:val="13"/>
  </w:num>
  <w:num w:numId="28">
    <w:abstractNumId w:val="14"/>
  </w:num>
  <w:num w:numId="29">
    <w:abstractNumId w:val="11"/>
  </w:num>
  <w:num w:numId="30">
    <w:abstractNumId w:val="18"/>
  </w:num>
  <w:num w:numId="31">
    <w:abstractNumId w:val="10"/>
  </w:num>
  <w:num w:numId="32">
    <w:abstractNumId w:val="22"/>
  </w:num>
  <w:num w:numId="33">
    <w:abstractNumId w:val="1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21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361"/>
    <w:rsid w:val="00014D39"/>
    <w:rsid w:val="00023173"/>
    <w:rsid w:val="000276A4"/>
    <w:rsid w:val="000335CB"/>
    <w:rsid w:val="00061CE0"/>
    <w:rsid w:val="00074BC1"/>
    <w:rsid w:val="00091AAE"/>
    <w:rsid w:val="000A1DDC"/>
    <w:rsid w:val="000A3860"/>
    <w:rsid w:val="000A6E99"/>
    <w:rsid w:val="000B2D48"/>
    <w:rsid w:val="000E180B"/>
    <w:rsid w:val="000E49B0"/>
    <w:rsid w:val="0010139D"/>
    <w:rsid w:val="00106FFC"/>
    <w:rsid w:val="00122658"/>
    <w:rsid w:val="0012513E"/>
    <w:rsid w:val="00125738"/>
    <w:rsid w:val="00125B08"/>
    <w:rsid w:val="001262E6"/>
    <w:rsid w:val="00146874"/>
    <w:rsid w:val="00151084"/>
    <w:rsid w:val="00163C04"/>
    <w:rsid w:val="00170A52"/>
    <w:rsid w:val="001714A6"/>
    <w:rsid w:val="0017250C"/>
    <w:rsid w:val="0017674A"/>
    <w:rsid w:val="001A4456"/>
    <w:rsid w:val="001B4858"/>
    <w:rsid w:val="001B5929"/>
    <w:rsid w:val="001D01C9"/>
    <w:rsid w:val="001F5DB0"/>
    <w:rsid w:val="00206FA2"/>
    <w:rsid w:val="00217427"/>
    <w:rsid w:val="00222131"/>
    <w:rsid w:val="00227EE9"/>
    <w:rsid w:val="00230CEF"/>
    <w:rsid w:val="00237F6B"/>
    <w:rsid w:val="00240719"/>
    <w:rsid w:val="00244D9B"/>
    <w:rsid w:val="002526C8"/>
    <w:rsid w:val="002545E8"/>
    <w:rsid w:val="0026203C"/>
    <w:rsid w:val="002620AC"/>
    <w:rsid w:val="00281245"/>
    <w:rsid w:val="002875F3"/>
    <w:rsid w:val="00296164"/>
    <w:rsid w:val="002962EE"/>
    <w:rsid w:val="002A7F64"/>
    <w:rsid w:val="002B723A"/>
    <w:rsid w:val="002F093E"/>
    <w:rsid w:val="00300A1B"/>
    <w:rsid w:val="00307127"/>
    <w:rsid w:val="00307832"/>
    <w:rsid w:val="00311FED"/>
    <w:rsid w:val="00317E1E"/>
    <w:rsid w:val="00333806"/>
    <w:rsid w:val="00337464"/>
    <w:rsid w:val="003412B8"/>
    <w:rsid w:val="00342B0E"/>
    <w:rsid w:val="00345136"/>
    <w:rsid w:val="003524A8"/>
    <w:rsid w:val="00354250"/>
    <w:rsid w:val="0036476C"/>
    <w:rsid w:val="00371C76"/>
    <w:rsid w:val="003930D7"/>
    <w:rsid w:val="003A6AB4"/>
    <w:rsid w:val="003B5D38"/>
    <w:rsid w:val="003C269D"/>
    <w:rsid w:val="003C4795"/>
    <w:rsid w:val="003D1B3E"/>
    <w:rsid w:val="003D758A"/>
    <w:rsid w:val="003E6542"/>
    <w:rsid w:val="003F31E0"/>
    <w:rsid w:val="00405C65"/>
    <w:rsid w:val="00407FCA"/>
    <w:rsid w:val="00412F4D"/>
    <w:rsid w:val="00422E16"/>
    <w:rsid w:val="0042594F"/>
    <w:rsid w:val="004274BF"/>
    <w:rsid w:val="00436625"/>
    <w:rsid w:val="00441A3C"/>
    <w:rsid w:val="004533B3"/>
    <w:rsid w:val="00453D2E"/>
    <w:rsid w:val="0045789C"/>
    <w:rsid w:val="00462133"/>
    <w:rsid w:val="00467913"/>
    <w:rsid w:val="00472F15"/>
    <w:rsid w:val="00476A86"/>
    <w:rsid w:val="0048008D"/>
    <w:rsid w:val="00481A98"/>
    <w:rsid w:val="00481AC3"/>
    <w:rsid w:val="0048412C"/>
    <w:rsid w:val="00491625"/>
    <w:rsid w:val="00491B96"/>
    <w:rsid w:val="004A6C00"/>
    <w:rsid w:val="004A6C71"/>
    <w:rsid w:val="004B39D9"/>
    <w:rsid w:val="004B6660"/>
    <w:rsid w:val="004C3ACD"/>
    <w:rsid w:val="004C41E1"/>
    <w:rsid w:val="004C571D"/>
    <w:rsid w:val="004F3086"/>
    <w:rsid w:val="004F4CE0"/>
    <w:rsid w:val="00516F6C"/>
    <w:rsid w:val="0051757F"/>
    <w:rsid w:val="00523851"/>
    <w:rsid w:val="005255A6"/>
    <w:rsid w:val="00527BB1"/>
    <w:rsid w:val="00531FC1"/>
    <w:rsid w:val="0054082D"/>
    <w:rsid w:val="00544C58"/>
    <w:rsid w:val="005459AA"/>
    <w:rsid w:val="00552969"/>
    <w:rsid w:val="0055427D"/>
    <w:rsid w:val="00557CF7"/>
    <w:rsid w:val="0056101B"/>
    <w:rsid w:val="00567180"/>
    <w:rsid w:val="005907D5"/>
    <w:rsid w:val="005A36C1"/>
    <w:rsid w:val="005B38F3"/>
    <w:rsid w:val="005C6B8A"/>
    <w:rsid w:val="005D6737"/>
    <w:rsid w:val="005E6D3A"/>
    <w:rsid w:val="005F5408"/>
    <w:rsid w:val="00601C72"/>
    <w:rsid w:val="006053CE"/>
    <w:rsid w:val="00611392"/>
    <w:rsid w:val="00616DD0"/>
    <w:rsid w:val="006215BB"/>
    <w:rsid w:val="0062593A"/>
    <w:rsid w:val="006813EB"/>
    <w:rsid w:val="00684F3A"/>
    <w:rsid w:val="00692CC8"/>
    <w:rsid w:val="006A2BA7"/>
    <w:rsid w:val="006A3C12"/>
    <w:rsid w:val="006B1D77"/>
    <w:rsid w:val="006C396F"/>
    <w:rsid w:val="006E5C55"/>
    <w:rsid w:val="00700A7D"/>
    <w:rsid w:val="007148A1"/>
    <w:rsid w:val="00721767"/>
    <w:rsid w:val="0072483D"/>
    <w:rsid w:val="0073443C"/>
    <w:rsid w:val="00735EAF"/>
    <w:rsid w:val="00742F02"/>
    <w:rsid w:val="0075397B"/>
    <w:rsid w:val="007546B0"/>
    <w:rsid w:val="00763B99"/>
    <w:rsid w:val="00764B31"/>
    <w:rsid w:val="00767A59"/>
    <w:rsid w:val="00776E2D"/>
    <w:rsid w:val="007A52C1"/>
    <w:rsid w:val="007B001A"/>
    <w:rsid w:val="007B670F"/>
    <w:rsid w:val="007C00E4"/>
    <w:rsid w:val="007D1A93"/>
    <w:rsid w:val="007D1EB8"/>
    <w:rsid w:val="007D5486"/>
    <w:rsid w:val="007E585B"/>
    <w:rsid w:val="007F5123"/>
    <w:rsid w:val="007F79B1"/>
    <w:rsid w:val="00823B76"/>
    <w:rsid w:val="00832C6F"/>
    <w:rsid w:val="0083580C"/>
    <w:rsid w:val="0083711E"/>
    <w:rsid w:val="00846620"/>
    <w:rsid w:val="008466E1"/>
    <w:rsid w:val="00851171"/>
    <w:rsid w:val="00856006"/>
    <w:rsid w:val="0086237A"/>
    <w:rsid w:val="00871F0E"/>
    <w:rsid w:val="008751CE"/>
    <w:rsid w:val="00882B1C"/>
    <w:rsid w:val="00885B56"/>
    <w:rsid w:val="008921BB"/>
    <w:rsid w:val="008A09DA"/>
    <w:rsid w:val="008D4324"/>
    <w:rsid w:val="008D53B2"/>
    <w:rsid w:val="008E021F"/>
    <w:rsid w:val="008F6E55"/>
    <w:rsid w:val="00903D93"/>
    <w:rsid w:val="00907C9F"/>
    <w:rsid w:val="00916712"/>
    <w:rsid w:val="00917403"/>
    <w:rsid w:val="009356C1"/>
    <w:rsid w:val="00940BA1"/>
    <w:rsid w:val="00942ED2"/>
    <w:rsid w:val="0094779E"/>
    <w:rsid w:val="009518CC"/>
    <w:rsid w:val="00973668"/>
    <w:rsid w:val="00975EF2"/>
    <w:rsid w:val="009862C1"/>
    <w:rsid w:val="0099041D"/>
    <w:rsid w:val="00990BC7"/>
    <w:rsid w:val="00991946"/>
    <w:rsid w:val="00991FAC"/>
    <w:rsid w:val="00996677"/>
    <w:rsid w:val="009A6FD8"/>
    <w:rsid w:val="009B116B"/>
    <w:rsid w:val="009B71A3"/>
    <w:rsid w:val="009C7739"/>
    <w:rsid w:val="009D59F6"/>
    <w:rsid w:val="009E18A8"/>
    <w:rsid w:val="00A010CC"/>
    <w:rsid w:val="00A1008E"/>
    <w:rsid w:val="00A13386"/>
    <w:rsid w:val="00A339EC"/>
    <w:rsid w:val="00A447D3"/>
    <w:rsid w:val="00A62B2F"/>
    <w:rsid w:val="00A74A03"/>
    <w:rsid w:val="00A75317"/>
    <w:rsid w:val="00A7759A"/>
    <w:rsid w:val="00A80CD2"/>
    <w:rsid w:val="00A86154"/>
    <w:rsid w:val="00A971BC"/>
    <w:rsid w:val="00AA4C86"/>
    <w:rsid w:val="00AA627C"/>
    <w:rsid w:val="00AA7446"/>
    <w:rsid w:val="00AB388E"/>
    <w:rsid w:val="00AB7AE8"/>
    <w:rsid w:val="00AC0C2B"/>
    <w:rsid w:val="00AC0F0F"/>
    <w:rsid w:val="00AC264D"/>
    <w:rsid w:val="00AC434B"/>
    <w:rsid w:val="00AC532E"/>
    <w:rsid w:val="00AC602A"/>
    <w:rsid w:val="00AD57A6"/>
    <w:rsid w:val="00AD5A46"/>
    <w:rsid w:val="00B11B32"/>
    <w:rsid w:val="00B203D1"/>
    <w:rsid w:val="00B31E2E"/>
    <w:rsid w:val="00B425BF"/>
    <w:rsid w:val="00B52750"/>
    <w:rsid w:val="00B56729"/>
    <w:rsid w:val="00B57774"/>
    <w:rsid w:val="00B636A5"/>
    <w:rsid w:val="00B7257F"/>
    <w:rsid w:val="00B820A3"/>
    <w:rsid w:val="00BA0159"/>
    <w:rsid w:val="00BA5234"/>
    <w:rsid w:val="00BB2E18"/>
    <w:rsid w:val="00BC5040"/>
    <w:rsid w:val="00BC5296"/>
    <w:rsid w:val="00BC61E8"/>
    <w:rsid w:val="00BD1F71"/>
    <w:rsid w:val="00BD299A"/>
    <w:rsid w:val="00BD2B04"/>
    <w:rsid w:val="00BD7B98"/>
    <w:rsid w:val="00BE0B14"/>
    <w:rsid w:val="00BF0A9D"/>
    <w:rsid w:val="00BF1DB2"/>
    <w:rsid w:val="00C146B4"/>
    <w:rsid w:val="00C15277"/>
    <w:rsid w:val="00C33DA6"/>
    <w:rsid w:val="00C37E15"/>
    <w:rsid w:val="00C5267D"/>
    <w:rsid w:val="00C54527"/>
    <w:rsid w:val="00C63D3C"/>
    <w:rsid w:val="00C64C02"/>
    <w:rsid w:val="00C767C3"/>
    <w:rsid w:val="00C9310A"/>
    <w:rsid w:val="00CB2E8A"/>
    <w:rsid w:val="00CB52DD"/>
    <w:rsid w:val="00CC1D30"/>
    <w:rsid w:val="00CC2936"/>
    <w:rsid w:val="00CF37DB"/>
    <w:rsid w:val="00D02429"/>
    <w:rsid w:val="00D12965"/>
    <w:rsid w:val="00D151FE"/>
    <w:rsid w:val="00D272F0"/>
    <w:rsid w:val="00D3009D"/>
    <w:rsid w:val="00D3620A"/>
    <w:rsid w:val="00D3767B"/>
    <w:rsid w:val="00D4180E"/>
    <w:rsid w:val="00D44ABE"/>
    <w:rsid w:val="00D44FA5"/>
    <w:rsid w:val="00D500AD"/>
    <w:rsid w:val="00D55A72"/>
    <w:rsid w:val="00D56543"/>
    <w:rsid w:val="00D63065"/>
    <w:rsid w:val="00D640D9"/>
    <w:rsid w:val="00D75BD2"/>
    <w:rsid w:val="00DB47A8"/>
    <w:rsid w:val="00DB6554"/>
    <w:rsid w:val="00DB71E1"/>
    <w:rsid w:val="00DF081D"/>
    <w:rsid w:val="00DF0D69"/>
    <w:rsid w:val="00DF79C0"/>
    <w:rsid w:val="00E05FAE"/>
    <w:rsid w:val="00E12752"/>
    <w:rsid w:val="00E23329"/>
    <w:rsid w:val="00E2514A"/>
    <w:rsid w:val="00E6252A"/>
    <w:rsid w:val="00E63362"/>
    <w:rsid w:val="00E665B3"/>
    <w:rsid w:val="00E729F4"/>
    <w:rsid w:val="00E73161"/>
    <w:rsid w:val="00E83F79"/>
    <w:rsid w:val="00E91528"/>
    <w:rsid w:val="00E92545"/>
    <w:rsid w:val="00E9326A"/>
    <w:rsid w:val="00E9684D"/>
    <w:rsid w:val="00EA49D3"/>
    <w:rsid w:val="00EB5817"/>
    <w:rsid w:val="00EC480C"/>
    <w:rsid w:val="00EC771E"/>
    <w:rsid w:val="00ED293B"/>
    <w:rsid w:val="00ED3D8F"/>
    <w:rsid w:val="00ED63AC"/>
    <w:rsid w:val="00EE00B9"/>
    <w:rsid w:val="00EF084B"/>
    <w:rsid w:val="00EF24DB"/>
    <w:rsid w:val="00EF7CDE"/>
    <w:rsid w:val="00F03F1E"/>
    <w:rsid w:val="00F07C2B"/>
    <w:rsid w:val="00F20391"/>
    <w:rsid w:val="00F213AE"/>
    <w:rsid w:val="00F22E2E"/>
    <w:rsid w:val="00F25361"/>
    <w:rsid w:val="00F2617B"/>
    <w:rsid w:val="00F4393E"/>
    <w:rsid w:val="00F46EAB"/>
    <w:rsid w:val="00F63196"/>
    <w:rsid w:val="00F64DBC"/>
    <w:rsid w:val="00F65246"/>
    <w:rsid w:val="00F825C5"/>
    <w:rsid w:val="00F8706C"/>
    <w:rsid w:val="00FA07D5"/>
    <w:rsid w:val="00FA6163"/>
    <w:rsid w:val="00FB3D61"/>
    <w:rsid w:val="00FB5C0D"/>
    <w:rsid w:val="00FB6E05"/>
    <w:rsid w:val="00FE40AD"/>
    <w:rsid w:val="00FF05EC"/>
    <w:rsid w:val="00FF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locked="1" w:uiPriority="0"/>
    <w:lsdException w:name="List Bullet 4" w:locked="1" w:uiPriority="0"/>
    <w:lsdException w:name="List Bullet 5" w:locked="1" w:uiPriority="0"/>
    <w:lsdException w:name="List Number 2" w:locked="1" w:uiPriority="0"/>
    <w:lsdException w:name="List Number 3" w:locked="1" w:uiPriority="0"/>
    <w:lsdException w:name="List Number 4" w:locked="1" w:uiPriority="0"/>
    <w:lsdException w:name="List Number 5" w:locked="1" w:uiPriority="0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B99"/>
    <w:pPr>
      <w:spacing w:line="240" w:lineRule="atLeast"/>
    </w:pPr>
    <w:rPr>
      <w:rFonts w:ascii="Georgia" w:hAnsi="Georgia"/>
      <w:sz w:val="20"/>
      <w:lang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767A59"/>
    <w:pPr>
      <w:numPr>
        <w:numId w:val="13"/>
      </w:numPr>
      <w:tabs>
        <w:tab w:val="clear" w:pos="926"/>
      </w:tabs>
      <w:spacing w:before="360" w:after="180"/>
      <w:ind w:left="340" w:hanging="340"/>
      <w:outlineLvl w:val="0"/>
    </w:pPr>
    <w:rPr>
      <w:b/>
      <w:sz w:val="24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48412C"/>
    <w:pPr>
      <w:numPr>
        <w:ilvl w:val="1"/>
        <w:numId w:val="3"/>
      </w:numPr>
      <w:tabs>
        <w:tab w:val="clear" w:pos="926"/>
      </w:tabs>
      <w:ind w:left="680" w:hanging="680"/>
      <w:outlineLvl w:val="1"/>
    </w:pPr>
    <w:rPr>
      <w:sz w:val="20"/>
    </w:rPr>
  </w:style>
  <w:style w:type="paragraph" w:styleId="Heading3">
    <w:name w:val="heading 3"/>
    <w:basedOn w:val="Heading2"/>
    <w:next w:val="BodyText"/>
    <w:link w:val="Heading3Char"/>
    <w:uiPriority w:val="99"/>
    <w:qFormat/>
    <w:rsid w:val="00851171"/>
    <w:pPr>
      <w:numPr>
        <w:ilvl w:val="2"/>
      </w:numPr>
      <w:tabs>
        <w:tab w:val="clear" w:pos="926"/>
      </w:tabs>
      <w:ind w:left="794" w:hanging="794"/>
      <w:outlineLvl w:val="2"/>
    </w:pPr>
  </w:style>
  <w:style w:type="paragraph" w:styleId="Heading4">
    <w:name w:val="heading 4"/>
    <w:basedOn w:val="Heading3"/>
    <w:next w:val="BodyText"/>
    <w:link w:val="Heading4Char"/>
    <w:uiPriority w:val="99"/>
    <w:qFormat/>
    <w:rsid w:val="00851171"/>
    <w:pPr>
      <w:numPr>
        <w:ilvl w:val="3"/>
      </w:numPr>
      <w:tabs>
        <w:tab w:val="clear" w:pos="926"/>
      </w:tabs>
      <w:ind w:left="1021" w:hanging="1021"/>
      <w:outlineLvl w:val="3"/>
    </w:pPr>
  </w:style>
  <w:style w:type="paragraph" w:styleId="Heading5">
    <w:name w:val="heading 5"/>
    <w:basedOn w:val="Heading4"/>
    <w:next w:val="BodyText"/>
    <w:link w:val="Heading5Char"/>
    <w:uiPriority w:val="99"/>
    <w:qFormat/>
    <w:rsid w:val="00851171"/>
    <w:pPr>
      <w:numPr>
        <w:ilvl w:val="4"/>
      </w:numPr>
      <w:tabs>
        <w:tab w:val="clear" w:pos="926"/>
      </w:tabs>
      <w:ind w:left="1247" w:hanging="1247"/>
      <w:outlineLvl w:val="4"/>
    </w:pPr>
  </w:style>
  <w:style w:type="paragraph" w:styleId="Heading6">
    <w:name w:val="heading 6"/>
    <w:basedOn w:val="Heading5"/>
    <w:next w:val="BodyText"/>
    <w:link w:val="Heading6Char"/>
    <w:uiPriority w:val="99"/>
    <w:qFormat/>
    <w:rsid w:val="009B116B"/>
    <w:pPr>
      <w:numPr>
        <w:ilvl w:val="5"/>
      </w:numPr>
      <w:tabs>
        <w:tab w:val="clear" w:pos="926"/>
        <w:tab w:val="left" w:pos="1418"/>
      </w:tabs>
      <w:spacing w:line="240" w:lineRule="auto"/>
      <w:ind w:left="1418" w:hanging="1418"/>
      <w:outlineLvl w:val="5"/>
    </w:pPr>
    <w:rPr>
      <w:rFonts w:eastAsia="Times New Roman"/>
      <w:szCs w:val="20"/>
    </w:rPr>
  </w:style>
  <w:style w:type="paragraph" w:styleId="Heading7">
    <w:name w:val="heading 7"/>
    <w:basedOn w:val="Heading6"/>
    <w:next w:val="BodyText"/>
    <w:link w:val="Heading7Char"/>
    <w:uiPriority w:val="99"/>
    <w:qFormat/>
    <w:rsid w:val="009B116B"/>
    <w:pPr>
      <w:numPr>
        <w:ilvl w:val="6"/>
      </w:numPr>
      <w:tabs>
        <w:tab w:val="clear" w:pos="926"/>
        <w:tab w:val="clear" w:pos="1418"/>
        <w:tab w:val="left" w:pos="1644"/>
      </w:tabs>
      <w:ind w:left="1644" w:hanging="1644"/>
      <w:outlineLvl w:val="6"/>
    </w:pPr>
  </w:style>
  <w:style w:type="paragraph" w:styleId="Heading8">
    <w:name w:val="heading 8"/>
    <w:basedOn w:val="Heading7"/>
    <w:next w:val="BodyText"/>
    <w:link w:val="Heading8Char"/>
    <w:uiPriority w:val="99"/>
    <w:qFormat/>
    <w:rsid w:val="009B116B"/>
    <w:pPr>
      <w:numPr>
        <w:ilvl w:val="7"/>
      </w:numPr>
      <w:tabs>
        <w:tab w:val="clear" w:pos="926"/>
        <w:tab w:val="clear" w:pos="1644"/>
        <w:tab w:val="left" w:pos="1928"/>
      </w:tabs>
      <w:ind w:left="1928" w:hanging="1928"/>
      <w:outlineLvl w:val="7"/>
    </w:pPr>
  </w:style>
  <w:style w:type="paragraph" w:styleId="Heading9">
    <w:name w:val="heading 9"/>
    <w:basedOn w:val="Heading8"/>
    <w:next w:val="BodyText"/>
    <w:link w:val="Heading9Char"/>
    <w:uiPriority w:val="99"/>
    <w:qFormat/>
    <w:rsid w:val="009B116B"/>
    <w:pPr>
      <w:numPr>
        <w:ilvl w:val="8"/>
      </w:numPr>
      <w:tabs>
        <w:tab w:val="clear" w:pos="926"/>
        <w:tab w:val="clear" w:pos="1928"/>
        <w:tab w:val="left" w:pos="2098"/>
      </w:tabs>
      <w:ind w:left="2098" w:hanging="2098"/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7A59"/>
    <w:rPr>
      <w:rFonts w:ascii="Georgia" w:hAnsi="Georgia" w:cs="Times New Roman"/>
      <w:b/>
      <w:sz w:val="22"/>
      <w:szCs w:val="22"/>
      <w:lang w:val="fi-FI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12C"/>
    <w:rPr>
      <w:rFonts w:ascii="Georgia" w:hAnsi="Georgia" w:cs="Times New Roman"/>
      <w:b/>
      <w:sz w:val="20"/>
      <w:lang w:val="fi-FI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51171"/>
    <w:rPr>
      <w:rFonts w:ascii="Georgia" w:hAnsi="Georgia" w:cs="Times New Roman"/>
      <w:b/>
      <w:sz w:val="20"/>
      <w:lang w:val="fi-FI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171"/>
    <w:rPr>
      <w:rFonts w:ascii="Georgia" w:hAnsi="Georgia" w:cs="Times New Roman"/>
      <w:b/>
      <w:sz w:val="20"/>
      <w:lang w:val="fi-FI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51171"/>
    <w:rPr>
      <w:rFonts w:ascii="Georgia" w:hAnsi="Georgia" w:cs="Times New Roman"/>
      <w:b/>
      <w:sz w:val="20"/>
      <w:lang w:val="fi-FI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B116B"/>
    <w:rPr>
      <w:rFonts w:ascii="Georgia" w:hAnsi="Georgia" w:cs="Times New Roman"/>
      <w:b/>
      <w:sz w:val="20"/>
      <w:szCs w:val="20"/>
      <w:lang w:val="fi-FI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B116B"/>
    <w:rPr>
      <w:rFonts w:ascii="Georgia" w:hAnsi="Georgia" w:cs="Times New Roman"/>
      <w:b/>
      <w:sz w:val="20"/>
      <w:szCs w:val="20"/>
      <w:lang w:val="fi-FI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B116B"/>
    <w:rPr>
      <w:rFonts w:ascii="Georgia" w:hAnsi="Georgia" w:cs="Times New Roman"/>
      <w:b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B116B"/>
    <w:rPr>
      <w:rFonts w:ascii="Georgia" w:hAnsi="Georgia" w:cs="Times New Roman"/>
      <w:b/>
      <w:sz w:val="20"/>
      <w:szCs w:val="20"/>
      <w:lang w:val="fi-FI"/>
    </w:rPr>
  </w:style>
  <w:style w:type="paragraph" w:styleId="Header">
    <w:name w:val="header"/>
    <w:basedOn w:val="Normal"/>
    <w:link w:val="HeaderChar"/>
    <w:uiPriority w:val="99"/>
    <w:rsid w:val="004B666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6542"/>
    <w:rPr>
      <w:rFonts w:ascii="Georgia" w:hAnsi="Georgia" w:cs="Times New Roman"/>
      <w:sz w:val="20"/>
      <w:lang w:val="fi-FI"/>
    </w:rPr>
  </w:style>
  <w:style w:type="paragraph" w:styleId="Footer">
    <w:name w:val="footer"/>
    <w:basedOn w:val="Normal"/>
    <w:link w:val="FooterChar"/>
    <w:uiPriority w:val="99"/>
    <w:rsid w:val="004B666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6542"/>
    <w:rPr>
      <w:rFonts w:ascii="Georgia" w:hAnsi="Georgia" w:cs="Times New Roman"/>
      <w:sz w:val="20"/>
      <w:lang w:val="fi-FI"/>
    </w:rPr>
  </w:style>
  <w:style w:type="paragraph" w:styleId="BodyText">
    <w:name w:val="Body Text"/>
    <w:basedOn w:val="Normal"/>
    <w:link w:val="BodyTextChar"/>
    <w:uiPriority w:val="99"/>
    <w:rsid w:val="00767A59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67A59"/>
    <w:rPr>
      <w:rFonts w:ascii="Georgia" w:hAnsi="Georgia" w:cs="Times New Roman"/>
      <w:sz w:val="20"/>
      <w:lang w:val="fi-FI"/>
    </w:rPr>
  </w:style>
  <w:style w:type="paragraph" w:customStyle="1" w:styleId="Disclaimer">
    <w:name w:val="Disclaimer"/>
    <w:link w:val="DisclaimerChar"/>
    <w:uiPriority w:val="99"/>
    <w:rsid w:val="004B6660"/>
    <w:pPr>
      <w:spacing w:line="140" w:lineRule="atLeast"/>
    </w:pPr>
    <w:rPr>
      <w:rFonts w:eastAsia="Times New Roman" w:cs="Arial"/>
      <w:bCs/>
      <w:noProof/>
      <w:color w:val="000000"/>
      <w:sz w:val="12"/>
      <w:szCs w:val="28"/>
      <w:lang w:eastAsia="en-GB"/>
    </w:rPr>
  </w:style>
  <w:style w:type="character" w:customStyle="1" w:styleId="DisclaimerChar">
    <w:name w:val="Disclaimer Char"/>
    <w:basedOn w:val="DefaultParagraphFont"/>
    <w:link w:val="Disclaimer"/>
    <w:uiPriority w:val="99"/>
    <w:locked/>
    <w:rsid w:val="002962EE"/>
    <w:rPr>
      <w:rFonts w:ascii="Arial" w:hAnsi="Arial" w:cs="Arial"/>
      <w:bCs/>
      <w:noProof/>
      <w:color w:val="000000"/>
      <w:sz w:val="28"/>
      <w:szCs w:val="28"/>
      <w:lang w:val="fi-FI" w:eastAsia="en-GB" w:bidi="ar-SA"/>
    </w:rPr>
  </w:style>
  <w:style w:type="paragraph" w:customStyle="1" w:styleId="PwCfooter">
    <w:name w:val="PwC footer"/>
    <w:link w:val="PwCfooterChar"/>
    <w:uiPriority w:val="99"/>
    <w:rsid w:val="00767A59"/>
    <w:pPr>
      <w:spacing w:line="200" w:lineRule="atLeast"/>
    </w:pPr>
    <w:rPr>
      <w:rFonts w:ascii="Georgia" w:hAnsi="Georgia"/>
      <w:i/>
      <w:noProof/>
      <w:sz w:val="16"/>
      <w:lang w:eastAsia="en-GB"/>
    </w:rPr>
  </w:style>
  <w:style w:type="character" w:customStyle="1" w:styleId="PwCfooterChar">
    <w:name w:val="PwC footer Char"/>
    <w:basedOn w:val="DefaultParagraphFont"/>
    <w:link w:val="PwCfooter"/>
    <w:uiPriority w:val="99"/>
    <w:locked/>
    <w:rsid w:val="00767A59"/>
    <w:rPr>
      <w:rFonts w:ascii="Georgia" w:hAnsi="Georgia" w:cs="Times New Roman"/>
      <w:i/>
      <w:noProof/>
      <w:sz w:val="22"/>
      <w:szCs w:val="22"/>
      <w:lang w:val="fi-FI" w:eastAsia="en-GB" w:bidi="ar-SA"/>
    </w:rPr>
  </w:style>
  <w:style w:type="paragraph" w:styleId="Quote">
    <w:name w:val="Quote"/>
    <w:basedOn w:val="Normal"/>
    <w:next w:val="Normal"/>
    <w:link w:val="QuoteChar"/>
    <w:uiPriority w:val="99"/>
    <w:qFormat/>
    <w:rsid w:val="004B666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4B6660"/>
    <w:rPr>
      <w:rFonts w:ascii="Georgia" w:hAnsi="Georgia" w:cs="Times New Roman"/>
      <w:i/>
      <w:iCs/>
      <w:color w:val="000000"/>
      <w:sz w:val="20"/>
      <w:lang w:val="fi-FI"/>
    </w:rPr>
  </w:style>
  <w:style w:type="character" w:styleId="Hyperlink">
    <w:name w:val="Hyperlink"/>
    <w:basedOn w:val="DefaultParagraphFont"/>
    <w:uiPriority w:val="99"/>
    <w:rsid w:val="004B666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91B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ipientaddress">
    <w:name w:val="Recipient address"/>
    <w:basedOn w:val="Normal"/>
    <w:uiPriority w:val="99"/>
    <w:rsid w:val="009C7739"/>
    <w:pPr>
      <w:spacing w:line="276" w:lineRule="auto"/>
    </w:pPr>
  </w:style>
  <w:style w:type="paragraph" w:styleId="TOC7">
    <w:name w:val="toc 7"/>
    <w:basedOn w:val="Normal"/>
    <w:next w:val="Normal"/>
    <w:autoRedefine/>
    <w:uiPriority w:val="99"/>
    <w:semiHidden/>
    <w:rsid w:val="00281245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281245"/>
    <w:pPr>
      <w:spacing w:after="100"/>
      <w:ind w:left="1400"/>
    </w:pPr>
  </w:style>
  <w:style w:type="paragraph" w:styleId="BlockText">
    <w:name w:val="Block Text"/>
    <w:basedOn w:val="Normal"/>
    <w:uiPriority w:val="99"/>
    <w:semiHidden/>
    <w:rsid w:val="007A52C1"/>
    <w:pPr>
      <w:pBdr>
        <w:top w:val="single" w:sz="2" w:space="10" w:color="DC6900"/>
        <w:left w:val="single" w:sz="2" w:space="10" w:color="DC6900"/>
        <w:bottom w:val="single" w:sz="2" w:space="10" w:color="DC6900"/>
        <w:right w:val="single" w:sz="2" w:space="10" w:color="DC6900"/>
      </w:pBdr>
      <w:ind w:left="1152" w:right="1152"/>
    </w:pPr>
    <w:rPr>
      <w:rFonts w:ascii="Arial" w:eastAsia="Times New Roman" w:hAnsi="Arial"/>
      <w:i/>
      <w:iCs/>
      <w:color w:val="DC6900"/>
    </w:rPr>
  </w:style>
  <w:style w:type="character" w:styleId="PageNumber">
    <w:name w:val="page number"/>
    <w:basedOn w:val="DefaultParagraphFont"/>
    <w:uiPriority w:val="99"/>
    <w:semiHidden/>
    <w:rsid w:val="00217427"/>
    <w:rPr>
      <w:rFonts w:cs="Times New Roman"/>
    </w:rPr>
  </w:style>
  <w:style w:type="paragraph" w:customStyle="1" w:styleId="Maintitle">
    <w:name w:val="Main title"/>
    <w:basedOn w:val="Normal"/>
    <w:next w:val="BodyText"/>
    <w:uiPriority w:val="99"/>
    <w:rsid w:val="00767A59"/>
    <w:pPr>
      <w:spacing w:after="240"/>
    </w:pPr>
    <w:rPr>
      <w:b/>
      <w:i/>
      <w:sz w:val="28"/>
      <w:szCs w:val="28"/>
    </w:rPr>
  </w:style>
  <w:style w:type="paragraph" w:customStyle="1" w:styleId="Reference">
    <w:name w:val="Reference"/>
    <w:basedOn w:val="Normal"/>
    <w:uiPriority w:val="99"/>
    <w:rsid w:val="009C7739"/>
  </w:style>
  <w:style w:type="paragraph" w:customStyle="1" w:styleId="PREPRINTED">
    <w:name w:val="PREPRINTED"/>
    <w:basedOn w:val="Normal"/>
    <w:uiPriority w:val="99"/>
    <w:rsid w:val="00940BA1"/>
    <w:pPr>
      <w:spacing w:after="260" w:line="240" w:lineRule="auto"/>
      <w:jc w:val="right"/>
    </w:pPr>
    <w:rPr>
      <w:rFonts w:ascii="Arial" w:eastAsia="Times New Roman" w:hAnsi="Arial"/>
      <w:sz w:val="22"/>
      <w:szCs w:val="20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rsid w:val="00B725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57F"/>
    <w:rPr>
      <w:rFonts w:ascii="Tahoma" w:hAnsi="Tahoma" w:cs="Tahoma"/>
      <w:sz w:val="16"/>
      <w:szCs w:val="16"/>
      <w:lang w:val="fi-FI"/>
    </w:rPr>
  </w:style>
  <w:style w:type="paragraph" w:styleId="ListBullet">
    <w:name w:val="List Bullet"/>
    <w:basedOn w:val="Normal"/>
    <w:uiPriority w:val="99"/>
    <w:rsid w:val="00763B99"/>
    <w:pPr>
      <w:numPr>
        <w:numId w:val="27"/>
      </w:numPr>
      <w:spacing w:after="240"/>
    </w:pPr>
    <w:rPr>
      <w:szCs w:val="20"/>
    </w:rPr>
  </w:style>
  <w:style w:type="paragraph" w:styleId="ListBullet2">
    <w:name w:val="List Bullet 2"/>
    <w:basedOn w:val="Normal"/>
    <w:uiPriority w:val="99"/>
    <w:rsid w:val="00763B99"/>
    <w:pPr>
      <w:numPr>
        <w:ilvl w:val="1"/>
        <w:numId w:val="27"/>
      </w:numPr>
      <w:spacing w:after="240"/>
    </w:pPr>
    <w:rPr>
      <w:szCs w:val="20"/>
    </w:rPr>
  </w:style>
  <w:style w:type="paragraph" w:styleId="ListBullet3">
    <w:name w:val="List Bullet 3"/>
    <w:basedOn w:val="Normal"/>
    <w:uiPriority w:val="99"/>
    <w:rsid w:val="00763B99"/>
    <w:pPr>
      <w:numPr>
        <w:numId w:val="26"/>
      </w:numPr>
      <w:spacing w:after="240"/>
    </w:pPr>
    <w:rPr>
      <w:szCs w:val="20"/>
    </w:rPr>
  </w:style>
  <w:style w:type="paragraph" w:styleId="ListBullet4">
    <w:name w:val="List Bullet 4"/>
    <w:basedOn w:val="Normal"/>
    <w:uiPriority w:val="99"/>
    <w:rsid w:val="00763B99"/>
    <w:pPr>
      <w:numPr>
        <w:ilvl w:val="3"/>
        <w:numId w:val="27"/>
      </w:numPr>
      <w:spacing w:after="240"/>
    </w:pPr>
    <w:rPr>
      <w:szCs w:val="20"/>
    </w:rPr>
  </w:style>
  <w:style w:type="paragraph" w:styleId="ListBullet5">
    <w:name w:val="List Bullet 5"/>
    <w:basedOn w:val="Normal"/>
    <w:uiPriority w:val="99"/>
    <w:rsid w:val="00763B99"/>
    <w:pPr>
      <w:numPr>
        <w:ilvl w:val="4"/>
        <w:numId w:val="27"/>
      </w:numPr>
      <w:spacing w:after="240"/>
    </w:pPr>
    <w:rPr>
      <w:szCs w:val="20"/>
    </w:rPr>
  </w:style>
  <w:style w:type="paragraph" w:styleId="ListNumber">
    <w:name w:val="List Number"/>
    <w:basedOn w:val="Normal"/>
    <w:uiPriority w:val="99"/>
    <w:rsid w:val="00763B99"/>
    <w:pPr>
      <w:numPr>
        <w:numId w:val="28"/>
      </w:numPr>
      <w:spacing w:after="240"/>
    </w:pPr>
    <w:rPr>
      <w:szCs w:val="20"/>
    </w:rPr>
  </w:style>
  <w:style w:type="paragraph" w:styleId="ListNumber2">
    <w:name w:val="List Number 2"/>
    <w:basedOn w:val="Normal"/>
    <w:uiPriority w:val="99"/>
    <w:rsid w:val="00763B99"/>
    <w:pPr>
      <w:numPr>
        <w:ilvl w:val="1"/>
        <w:numId w:val="28"/>
      </w:numPr>
      <w:spacing w:after="240"/>
    </w:pPr>
    <w:rPr>
      <w:szCs w:val="20"/>
    </w:rPr>
  </w:style>
  <w:style w:type="paragraph" w:styleId="ListNumber3">
    <w:name w:val="List Number 3"/>
    <w:basedOn w:val="Normal"/>
    <w:uiPriority w:val="99"/>
    <w:rsid w:val="00763B99"/>
    <w:pPr>
      <w:numPr>
        <w:ilvl w:val="2"/>
        <w:numId w:val="28"/>
      </w:numPr>
      <w:spacing w:after="240"/>
    </w:pPr>
    <w:rPr>
      <w:szCs w:val="20"/>
    </w:rPr>
  </w:style>
  <w:style w:type="paragraph" w:styleId="ListNumber4">
    <w:name w:val="List Number 4"/>
    <w:basedOn w:val="Normal"/>
    <w:uiPriority w:val="99"/>
    <w:rsid w:val="00763B99"/>
    <w:pPr>
      <w:numPr>
        <w:ilvl w:val="3"/>
        <w:numId w:val="28"/>
      </w:numPr>
      <w:spacing w:after="240"/>
    </w:pPr>
    <w:rPr>
      <w:szCs w:val="20"/>
    </w:rPr>
  </w:style>
  <w:style w:type="paragraph" w:styleId="ListNumber5">
    <w:name w:val="List Number 5"/>
    <w:basedOn w:val="Normal"/>
    <w:uiPriority w:val="99"/>
    <w:rsid w:val="00763B99"/>
    <w:pPr>
      <w:numPr>
        <w:ilvl w:val="4"/>
        <w:numId w:val="28"/>
      </w:numPr>
      <w:spacing w:after="240"/>
    </w:pPr>
    <w:rPr>
      <w:szCs w:val="20"/>
    </w:rPr>
  </w:style>
  <w:style w:type="paragraph" w:customStyle="1" w:styleId="Default">
    <w:name w:val="Default"/>
    <w:uiPriority w:val="99"/>
    <w:rsid w:val="00345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345136"/>
    <w:pPr>
      <w:spacing w:line="240" w:lineRule="auto"/>
      <w:ind w:left="720"/>
      <w:contextualSpacing/>
    </w:pPr>
    <w:rPr>
      <w:szCs w:val="20"/>
      <w:lang w:val="en-GB"/>
    </w:rPr>
  </w:style>
  <w:style w:type="numbering" w:customStyle="1" w:styleId="PwCheadings">
    <w:name w:val="PwC headings"/>
    <w:rsid w:val="001E3FBA"/>
    <w:pPr>
      <w:numPr>
        <w:numId w:val="21"/>
      </w:numPr>
    </w:pPr>
  </w:style>
  <w:style w:type="numbering" w:customStyle="1" w:styleId="Bullet-lista">
    <w:name w:val="Bullet-lista"/>
    <w:rsid w:val="001E3FBA"/>
    <w:pPr>
      <w:numPr>
        <w:numId w:val="24"/>
      </w:numPr>
    </w:pPr>
  </w:style>
  <w:style w:type="numbering" w:customStyle="1" w:styleId="Numerointilista">
    <w:name w:val="Numerointilista"/>
    <w:rsid w:val="001E3FBA"/>
    <w:pPr>
      <w:numPr>
        <w:numId w:val="25"/>
      </w:numPr>
    </w:pPr>
  </w:style>
  <w:style w:type="numbering" w:customStyle="1" w:styleId="Style1">
    <w:name w:val="Style1"/>
    <w:rsid w:val="001E3FBA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5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malmivaar001\Application%20data\Suorakonttori\Ameba\Version%204\Templates\PwC-kirj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PwC-kirje.dotx</Template>
  <TotalTime>0</TotalTime>
  <Pages>8</Pages>
  <Words>2199</Words>
  <Characters>17816</Characters>
  <Application>Microsoft Office Outlook</Application>
  <DocSecurity>0</DocSecurity>
  <Lines>0</Lines>
  <Paragraphs>0</Paragraphs>
  <ScaleCrop>false</ScaleCrop>
  <Company>PricewaterhouseCoopers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 OIKEUSMINISTERIÖLLE</dc:title>
  <dc:subject/>
  <dc:creator>Tero Malmivaara</dc:creator>
  <cp:keywords/>
  <dc:description/>
  <cp:lastModifiedBy>O920334</cp:lastModifiedBy>
  <cp:revision>2</cp:revision>
  <cp:lastPrinted>2010-09-27T08:10:00Z</cp:lastPrinted>
  <dcterms:created xsi:type="dcterms:W3CDTF">2011-04-05T05:14:00Z</dcterms:created>
  <dcterms:modified xsi:type="dcterms:W3CDTF">2011-04-05T05:14:00Z</dcterms:modified>
</cp:coreProperties>
</file>