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D3620A" w:rsidTr="00700A7D">
        <w:trPr>
          <w:trHeight w:val="1418"/>
        </w:trPr>
        <w:tc>
          <w:tcPr>
            <w:tcW w:w="5211" w:type="dxa"/>
          </w:tcPr>
          <w:p w:rsidR="00D3620A" w:rsidRPr="00700A7D" w:rsidRDefault="00222E88" w:rsidP="00D01413">
            <w:pPr>
              <w:pStyle w:val="Recipientaddress"/>
              <w:spacing w:line="360" w:lineRule="auto"/>
            </w:pPr>
            <w:bookmarkStart w:id="0" w:name="Start"/>
            <w:bookmarkStart w:id="1" w:name="AmebaAddress" w:colFirst="0" w:colLast="0"/>
            <w:bookmarkEnd w:id="0"/>
            <w:r>
              <w:t>oikeusministerio@om.fi</w:t>
            </w:r>
          </w:p>
        </w:tc>
      </w:tr>
      <w:bookmarkEnd w:id="1"/>
    </w:tbl>
    <w:p w:rsidR="00F20391" w:rsidRDefault="00F20391" w:rsidP="00D01413">
      <w:pPr>
        <w:spacing w:after="120" w:line="360" w:lineRule="auto"/>
      </w:pPr>
    </w:p>
    <w:p w:rsidR="00300A1B" w:rsidRPr="00F20391" w:rsidRDefault="00300A1B" w:rsidP="00D01413">
      <w:pPr>
        <w:spacing w:after="120" w:line="360" w:lineRule="auto"/>
      </w:pPr>
    </w:p>
    <w:p w:rsidR="00F20391" w:rsidRPr="009C7739" w:rsidRDefault="00222E88" w:rsidP="00D01413">
      <w:pPr>
        <w:pStyle w:val="Maintitle"/>
        <w:spacing w:line="360" w:lineRule="auto"/>
      </w:pPr>
      <w:bookmarkStart w:id="2" w:name="AmebaBeginning"/>
      <w:bookmarkEnd w:id="2"/>
      <w:r w:rsidRPr="000E180B">
        <w:rPr>
          <w:sz w:val="22"/>
        </w:rPr>
        <w:t>LAUSUNTO OIKEUSMINISTERIÖLLE</w:t>
      </w:r>
    </w:p>
    <w:p w:rsidR="00222E88" w:rsidRPr="00307127" w:rsidRDefault="00222E88" w:rsidP="00D01413">
      <w:pPr>
        <w:pStyle w:val="Heading1"/>
        <w:spacing w:line="360" w:lineRule="auto"/>
      </w:pPr>
      <w:r>
        <w:t>Lausunnon antaminen</w:t>
      </w:r>
    </w:p>
    <w:p w:rsidR="00222E88" w:rsidRPr="00D01413" w:rsidRDefault="00222E88" w:rsidP="00D01413">
      <w:pPr>
        <w:spacing w:line="360" w:lineRule="auto"/>
        <w:rPr>
          <w:rFonts w:cs="Arial"/>
          <w:bCs/>
          <w:color w:val="000000" w:themeColor="text1"/>
          <w:sz w:val="22"/>
        </w:rPr>
      </w:pPr>
      <w:r w:rsidRPr="00D01413">
        <w:rPr>
          <w:rFonts w:cs="Arial"/>
          <w:bCs/>
          <w:color w:val="000000" w:themeColor="text1"/>
          <w:sz w:val="22"/>
        </w:rPr>
        <w:t>Oikeusministeriö on 4.3.2011 lähettänyt lausuntopyynnön (OM 20/41/2010) luonnoksesta (”Esity</w:t>
      </w:r>
      <w:r w:rsidRPr="00D01413">
        <w:rPr>
          <w:rFonts w:cs="Arial"/>
          <w:bCs/>
          <w:color w:val="000000" w:themeColor="text1"/>
          <w:sz w:val="22"/>
        </w:rPr>
        <w:t>s</w:t>
      </w:r>
      <w:r w:rsidRPr="00D01413">
        <w:rPr>
          <w:rFonts w:cs="Arial"/>
          <w:bCs/>
          <w:color w:val="000000" w:themeColor="text1"/>
          <w:sz w:val="22"/>
        </w:rPr>
        <w:t>luonnos”) hallituksen esitykseksi osakeyhtiölain uudistamisesta pääomadirektiivin ja yritysjärjestel</w:t>
      </w:r>
      <w:r w:rsidRPr="00D01413">
        <w:rPr>
          <w:rFonts w:cs="Arial"/>
          <w:bCs/>
          <w:color w:val="000000" w:themeColor="text1"/>
          <w:sz w:val="22"/>
        </w:rPr>
        <w:t>y</w:t>
      </w:r>
      <w:r w:rsidRPr="00D01413">
        <w:rPr>
          <w:rFonts w:cs="Arial"/>
          <w:bCs/>
          <w:color w:val="000000" w:themeColor="text1"/>
          <w:sz w:val="22"/>
        </w:rPr>
        <w:t>direktiivien muutosdirektiivin (</w:t>
      </w:r>
      <w:r w:rsidRPr="00D01413">
        <w:rPr>
          <w:sz w:val="22"/>
        </w:rPr>
        <w:t>2009/109/EY, ”Muutosdirektiivi”)</w:t>
      </w:r>
      <w:r w:rsidRPr="00D01413">
        <w:rPr>
          <w:rFonts w:cs="Arial"/>
          <w:bCs/>
          <w:color w:val="000000" w:themeColor="text1"/>
          <w:sz w:val="22"/>
        </w:rPr>
        <w:t xml:space="preserve"> voimaan saattamiseksi.</w:t>
      </w:r>
    </w:p>
    <w:p w:rsidR="00222E88" w:rsidRPr="00D01413" w:rsidRDefault="00222E88" w:rsidP="00D01413">
      <w:pPr>
        <w:spacing w:line="360" w:lineRule="auto"/>
        <w:rPr>
          <w:rFonts w:cs="Arial"/>
          <w:bCs/>
          <w:color w:val="000000" w:themeColor="text1"/>
          <w:sz w:val="22"/>
        </w:rPr>
      </w:pPr>
    </w:p>
    <w:p w:rsidR="00222E88" w:rsidRPr="00D01413" w:rsidRDefault="00222E88" w:rsidP="00D01413">
      <w:pPr>
        <w:spacing w:line="360" w:lineRule="auto"/>
        <w:rPr>
          <w:rFonts w:cs="Arial"/>
          <w:bCs/>
          <w:color w:val="000000" w:themeColor="text1"/>
          <w:sz w:val="22"/>
        </w:rPr>
      </w:pPr>
      <w:r w:rsidRPr="00D01413">
        <w:rPr>
          <w:rFonts w:cs="Arial"/>
          <w:bCs/>
          <w:color w:val="000000" w:themeColor="text1"/>
          <w:sz w:val="22"/>
        </w:rPr>
        <w:t>PricewaterhouseCoopers Oy (”PwC”) on vuonna 1954 perustettu suomalaisomisteinen KHT-yhteisö, joka tarjoaa liikkeenjohdon konsultointia, tilintarkastusta sekä yritysjärjestelyihin, verotukseen ja varmennukseen liittyviä palveluja. Työntekijöitä yhtiöllämme on yli 700 ja toimipaikkoja 20 paikkakunnalla. Olemme sopimusperusteisessa yhteistyössä maailmanla</w:t>
      </w:r>
      <w:r w:rsidRPr="00D01413">
        <w:rPr>
          <w:rFonts w:cs="Arial"/>
          <w:bCs/>
          <w:color w:val="000000" w:themeColor="text1"/>
          <w:sz w:val="22"/>
        </w:rPr>
        <w:t>a</w:t>
      </w:r>
      <w:r w:rsidRPr="00D01413">
        <w:rPr>
          <w:rFonts w:cs="Arial"/>
          <w:bCs/>
          <w:color w:val="000000" w:themeColor="text1"/>
          <w:sz w:val="22"/>
        </w:rPr>
        <w:t>juisen PwC-ketjun kanssa, jossa toimii 161 000 henkeä 154 maassa. Asiakkaamme ovat mm. eri toimialoilla vaikuttavia suomalaisia ja kansainvälisesti toimivia pörssiyhtiöitä sekä pieniä ja keskisuuria yrityksiä. Olemme johtava suom</w:t>
      </w:r>
      <w:r w:rsidRPr="00D01413">
        <w:rPr>
          <w:rFonts w:cs="Arial"/>
          <w:bCs/>
          <w:color w:val="000000" w:themeColor="text1"/>
          <w:sz w:val="22"/>
        </w:rPr>
        <w:t>a</w:t>
      </w:r>
      <w:r w:rsidRPr="00D01413">
        <w:rPr>
          <w:rFonts w:cs="Arial"/>
          <w:bCs/>
          <w:color w:val="000000" w:themeColor="text1"/>
          <w:sz w:val="22"/>
        </w:rPr>
        <w:t>laisten listattujen yhtiöiden tilintarkastaja 33 prosentin osuudellamme (huhtikuu 2010). Osuutemme 500 suurimman yrityksen tilinta</w:t>
      </w:r>
      <w:r w:rsidRPr="00D01413">
        <w:rPr>
          <w:rFonts w:cs="Arial"/>
          <w:bCs/>
          <w:color w:val="000000" w:themeColor="text1"/>
          <w:sz w:val="22"/>
        </w:rPr>
        <w:t>r</w:t>
      </w:r>
      <w:r w:rsidRPr="00D01413">
        <w:rPr>
          <w:rFonts w:cs="Arial"/>
          <w:bCs/>
          <w:color w:val="000000" w:themeColor="text1"/>
          <w:sz w:val="22"/>
        </w:rPr>
        <w:t>kastustoimeksiannoista vuonna 2010 oli 29 prosenttia (TE500). Verotukseen- ja yritysoike</w:t>
      </w:r>
      <w:r w:rsidRPr="00D01413">
        <w:rPr>
          <w:rFonts w:cs="Arial"/>
          <w:bCs/>
          <w:color w:val="000000" w:themeColor="text1"/>
          <w:sz w:val="22"/>
        </w:rPr>
        <w:t>u</w:t>
      </w:r>
      <w:r w:rsidRPr="00D01413">
        <w:rPr>
          <w:rFonts w:cs="Arial"/>
          <w:bCs/>
          <w:color w:val="000000" w:themeColor="text1"/>
          <w:sz w:val="22"/>
        </w:rPr>
        <w:t xml:space="preserve">teen liittyviä palveluja annamme Suomessa vuosittain 12 000 asiakkaalle. </w:t>
      </w:r>
    </w:p>
    <w:p w:rsidR="00222E88" w:rsidRPr="00D01413" w:rsidRDefault="00222E88" w:rsidP="00D01413">
      <w:pPr>
        <w:spacing w:line="360" w:lineRule="auto"/>
        <w:rPr>
          <w:rFonts w:cs="Arial"/>
          <w:bCs/>
          <w:color w:val="000000" w:themeColor="text1"/>
          <w:sz w:val="22"/>
        </w:rPr>
      </w:pPr>
    </w:p>
    <w:p w:rsidR="00222E88" w:rsidRPr="00D01413" w:rsidRDefault="00222E88" w:rsidP="00D01413">
      <w:pPr>
        <w:spacing w:line="360" w:lineRule="auto"/>
        <w:rPr>
          <w:rFonts w:cs="Arial"/>
          <w:bCs/>
          <w:color w:val="000000" w:themeColor="text1"/>
          <w:sz w:val="22"/>
        </w:rPr>
      </w:pPr>
      <w:r w:rsidRPr="00D01413">
        <w:rPr>
          <w:rFonts w:cs="Arial"/>
          <w:bCs/>
          <w:color w:val="000000" w:themeColor="text1"/>
          <w:sz w:val="22"/>
        </w:rPr>
        <w:t>PwC pyrkii osallistumaan aktiivisesti keskusteluun yritysten säännösympäristöstä. Sen vuo</w:t>
      </w:r>
      <w:r w:rsidRPr="00D01413">
        <w:rPr>
          <w:rFonts w:cs="Arial"/>
          <w:bCs/>
          <w:color w:val="000000" w:themeColor="text1"/>
          <w:sz w:val="22"/>
        </w:rPr>
        <w:t>k</w:t>
      </w:r>
      <w:r w:rsidRPr="00D01413">
        <w:rPr>
          <w:rFonts w:cs="Arial"/>
          <w:bCs/>
          <w:color w:val="000000" w:themeColor="text1"/>
          <w:sz w:val="22"/>
        </w:rPr>
        <w:t>si olemme päättäneet antaa Esitysluonnoksesta lausunnon oma-aloitteisesti.</w:t>
      </w:r>
    </w:p>
    <w:p w:rsidR="00222E88" w:rsidRPr="00D01413" w:rsidRDefault="00222E88" w:rsidP="00D01413">
      <w:pPr>
        <w:spacing w:line="360" w:lineRule="auto"/>
        <w:rPr>
          <w:sz w:val="22"/>
        </w:rPr>
      </w:pPr>
    </w:p>
    <w:p w:rsidR="00222E88" w:rsidRPr="00D01413" w:rsidRDefault="00222E88" w:rsidP="00D01413">
      <w:pPr>
        <w:spacing w:line="360" w:lineRule="auto"/>
        <w:rPr>
          <w:sz w:val="22"/>
        </w:rPr>
      </w:pPr>
      <w:r w:rsidRPr="00D01413">
        <w:rPr>
          <w:sz w:val="22"/>
        </w:rPr>
        <w:t>Lausuntonaan PwC haluaa kunnioittaen tuoda esille seuraavaa:</w:t>
      </w:r>
    </w:p>
    <w:p w:rsidR="00222E88" w:rsidRPr="00307127" w:rsidRDefault="00222E88" w:rsidP="00D01413">
      <w:pPr>
        <w:pStyle w:val="Heading1"/>
        <w:spacing w:line="360" w:lineRule="auto"/>
      </w:pPr>
      <w:r>
        <w:lastRenderedPageBreak/>
        <w:t xml:space="preserve">Yleinen kommentti </w:t>
      </w:r>
    </w:p>
    <w:p w:rsidR="00222E88" w:rsidRPr="00D01413" w:rsidRDefault="00222E88" w:rsidP="00D01413">
      <w:pPr>
        <w:spacing w:line="360" w:lineRule="auto"/>
        <w:rPr>
          <w:sz w:val="22"/>
        </w:rPr>
      </w:pPr>
      <w:r w:rsidRPr="00D01413">
        <w:rPr>
          <w:sz w:val="22"/>
        </w:rPr>
        <w:t>Esitysluonnos sisältää osakeyhtiölakiin muutosehdotuksia, joilla pyritään Muutosdirektiivin vaatimu</w:t>
      </w:r>
      <w:r w:rsidRPr="00D01413">
        <w:rPr>
          <w:sz w:val="22"/>
        </w:rPr>
        <w:t>s</w:t>
      </w:r>
      <w:r w:rsidRPr="00D01413">
        <w:rPr>
          <w:sz w:val="22"/>
        </w:rPr>
        <w:t>ten täyttämiseen ja joilla eräiltä osin kevennetään yritysten tiedonantovelvollisuutta ja muita hallinnollisia vaatimuksia. Muutosdirektiivin taustalla on Eurooppa-neuvoston 2007 vahvistetun toimintaohjelman tavoite vähentää yhteisössä sijaitseville yrityksille aihe</w:t>
      </w:r>
      <w:r w:rsidRPr="00D01413">
        <w:rPr>
          <w:sz w:val="22"/>
        </w:rPr>
        <w:t>u</w:t>
      </w:r>
      <w:r w:rsidRPr="00D01413">
        <w:rPr>
          <w:sz w:val="22"/>
        </w:rPr>
        <w:t>tuvia hallinnollisia rasitteita yhden neljäsosan vuoteen 2012 mennessä yritysten kilpailuk</w:t>
      </w:r>
      <w:r w:rsidRPr="00D01413">
        <w:rPr>
          <w:sz w:val="22"/>
        </w:rPr>
        <w:t>y</w:t>
      </w:r>
      <w:r w:rsidRPr="00D01413">
        <w:rPr>
          <w:sz w:val="22"/>
        </w:rPr>
        <w:t xml:space="preserve">vyn parantamiseksi. </w:t>
      </w:r>
    </w:p>
    <w:p w:rsidR="00222E88" w:rsidRPr="00D01413" w:rsidRDefault="00222E88" w:rsidP="00D01413">
      <w:pPr>
        <w:spacing w:line="360" w:lineRule="auto"/>
        <w:rPr>
          <w:sz w:val="22"/>
        </w:rPr>
      </w:pPr>
    </w:p>
    <w:p w:rsidR="00222E88" w:rsidRPr="00D01413" w:rsidRDefault="00222E88" w:rsidP="00D01413">
      <w:pPr>
        <w:spacing w:line="360" w:lineRule="auto"/>
        <w:rPr>
          <w:sz w:val="22"/>
        </w:rPr>
      </w:pPr>
      <w:r w:rsidRPr="00D01413">
        <w:rPr>
          <w:sz w:val="22"/>
        </w:rPr>
        <w:t>PwC kannattaa uudistuksen taustalla olevia tavoitteita ja myös Esitysluonnoksen sisältöä pääosiltaan. Erityisesti PwC kannattaa Esitysluonnoksessa omaksuttua tavoitetta säilyttää julkisten ja yksityisten yhtiöiden sääntelyn yhdenmukaisuus mahdollisimman pitkälle. Se edistää osakeyhtiölain selkeyttä.</w:t>
      </w:r>
    </w:p>
    <w:p w:rsidR="00222E88" w:rsidRPr="00307127" w:rsidRDefault="00222E88" w:rsidP="00D01413">
      <w:pPr>
        <w:pStyle w:val="Heading1"/>
        <w:spacing w:line="360" w:lineRule="auto"/>
      </w:pPr>
      <w:r>
        <w:t>Yksityiskohtaisia kommentteja</w:t>
      </w:r>
    </w:p>
    <w:p w:rsidR="00222E88" w:rsidRPr="00D01413" w:rsidRDefault="00222E88" w:rsidP="00D01413">
      <w:pPr>
        <w:spacing w:line="360" w:lineRule="auto"/>
        <w:jc w:val="both"/>
        <w:rPr>
          <w:sz w:val="22"/>
        </w:rPr>
      </w:pPr>
      <w:r w:rsidRPr="00D01413">
        <w:rPr>
          <w:sz w:val="22"/>
        </w:rPr>
        <w:t xml:space="preserve">Seuraavassa on esitetty joitakin yksityiskohtaisia kommentteja Esitysluonnoksen sisältämien säännöstekstien mukaisessa järjestyksessä. </w:t>
      </w:r>
    </w:p>
    <w:p w:rsidR="00222E88" w:rsidRDefault="00222E88" w:rsidP="00D01413">
      <w:pPr>
        <w:pStyle w:val="Heading2"/>
        <w:spacing w:line="360" w:lineRule="auto"/>
      </w:pPr>
      <w:r>
        <w:t xml:space="preserve">OYL 16:9 </w:t>
      </w:r>
      <w:r w:rsidRPr="0053383D">
        <w:t xml:space="preserve">§ </w:t>
      </w:r>
    </w:p>
    <w:p w:rsidR="00222E88" w:rsidRPr="00D01413" w:rsidRDefault="00222E88" w:rsidP="00D01413">
      <w:pPr>
        <w:spacing w:line="360" w:lineRule="auto"/>
        <w:jc w:val="both"/>
        <w:rPr>
          <w:sz w:val="22"/>
        </w:rPr>
      </w:pPr>
      <w:r w:rsidRPr="00D01413">
        <w:rPr>
          <w:sz w:val="22"/>
        </w:rPr>
        <w:t>Kun vastaanottavan yhtiön määrävähemmistön (5 %) oikeus vaatia sulautumisen käsittel</w:t>
      </w:r>
      <w:r w:rsidRPr="00D01413">
        <w:rPr>
          <w:sz w:val="22"/>
        </w:rPr>
        <w:t>e</w:t>
      </w:r>
      <w:r w:rsidRPr="00D01413">
        <w:rPr>
          <w:sz w:val="22"/>
        </w:rPr>
        <w:t>mistä vastaanottavan yhtiö yhtiökokouksessa poistetaan tilanteista, joissa vastaanottava y</w:t>
      </w:r>
      <w:r w:rsidRPr="00D01413">
        <w:rPr>
          <w:sz w:val="22"/>
        </w:rPr>
        <w:t>h</w:t>
      </w:r>
      <w:r w:rsidRPr="00D01413">
        <w:rPr>
          <w:sz w:val="22"/>
        </w:rPr>
        <w:t>tiö omistaa yli 90 % sulautuvan yhtiön osakkeista, olisi ilmeisesti tarpeen tehdä muutos os</w:t>
      </w:r>
      <w:r w:rsidRPr="00D01413">
        <w:rPr>
          <w:sz w:val="22"/>
        </w:rPr>
        <w:t>a</w:t>
      </w:r>
      <w:r w:rsidRPr="00D01413">
        <w:rPr>
          <w:sz w:val="22"/>
        </w:rPr>
        <w:t>keyhtiölain 16 luvun 10 §:n 3 momentin ilmoitusvelvollisuuteen.</w:t>
      </w:r>
    </w:p>
    <w:p w:rsidR="00222E88" w:rsidRDefault="00222E88" w:rsidP="00D01413">
      <w:pPr>
        <w:pStyle w:val="Heading2"/>
        <w:spacing w:line="360" w:lineRule="auto"/>
      </w:pPr>
      <w:r>
        <w:t xml:space="preserve">OYL 16:11 </w:t>
      </w:r>
      <w:r w:rsidRPr="0053383D">
        <w:t xml:space="preserve">§ </w:t>
      </w:r>
    </w:p>
    <w:p w:rsidR="00222E88" w:rsidRDefault="00222E88" w:rsidP="00D01413">
      <w:pPr>
        <w:spacing w:line="360" w:lineRule="auto"/>
        <w:jc w:val="both"/>
        <w:rPr>
          <w:sz w:val="22"/>
        </w:rPr>
      </w:pPr>
      <w:r>
        <w:rPr>
          <w:sz w:val="22"/>
        </w:rPr>
        <w:t>Nykyisen osakeyhtiölain julkisilta yhtiöiltä edellyttämä tuore (”väli”)tilinpäätös on yhtiökä</w:t>
      </w:r>
      <w:r>
        <w:rPr>
          <w:sz w:val="22"/>
        </w:rPr>
        <w:t>y</w:t>
      </w:r>
      <w:r>
        <w:rPr>
          <w:sz w:val="22"/>
        </w:rPr>
        <w:t>tännössä osoittautunut työlääksi ja sulautumisia viivyttäväksi vaatimukseksi. PwC kannattaa mahdollisuutta korvata se osavuosikatsauksella.</w:t>
      </w:r>
    </w:p>
    <w:p w:rsidR="00D01413" w:rsidRDefault="00D01413" w:rsidP="00D01413">
      <w:pPr>
        <w:spacing w:line="360" w:lineRule="auto"/>
        <w:jc w:val="both"/>
        <w:rPr>
          <w:sz w:val="22"/>
        </w:rPr>
      </w:pPr>
    </w:p>
    <w:p w:rsidR="00222E88" w:rsidRPr="00512F8B" w:rsidRDefault="00222E88" w:rsidP="00D01413">
      <w:pPr>
        <w:pStyle w:val="Heading2"/>
        <w:spacing w:line="360" w:lineRule="auto"/>
      </w:pPr>
      <w:r>
        <w:lastRenderedPageBreak/>
        <w:t xml:space="preserve">OYL 17:3 </w:t>
      </w:r>
      <w:r w:rsidRPr="0053383D">
        <w:t>§</w:t>
      </w:r>
      <w:r w:rsidRPr="00512F8B">
        <w:t xml:space="preserve"> </w:t>
      </w:r>
    </w:p>
    <w:p w:rsidR="00222E88" w:rsidRDefault="00222E88" w:rsidP="00D01413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Esitysluonnoksen </w:t>
      </w:r>
      <w:r w:rsidRPr="008E3DDB">
        <w:rPr>
          <w:sz w:val="22"/>
        </w:rPr>
        <w:t xml:space="preserve">mukaan </w:t>
      </w:r>
      <w:r>
        <w:rPr>
          <w:sz w:val="22"/>
        </w:rPr>
        <w:t xml:space="preserve">tietyissä jakautumisissa (”tytäryhtiöjakautumiset”) laadittavan jakautumissuunnitelman sisältöön ei </w:t>
      </w:r>
      <w:r w:rsidRPr="008E3DDB">
        <w:rPr>
          <w:sz w:val="22"/>
        </w:rPr>
        <w:t xml:space="preserve">tarvitsisi </w:t>
      </w:r>
      <w:r>
        <w:rPr>
          <w:sz w:val="22"/>
        </w:rPr>
        <w:t xml:space="preserve">lainkaan soveltaa </w:t>
      </w:r>
      <w:r w:rsidRPr="008E3DDB">
        <w:rPr>
          <w:sz w:val="22"/>
        </w:rPr>
        <w:t>osakeyhtiölain 17 luvun 3 §:n 2 momentin koh</w:t>
      </w:r>
      <w:r>
        <w:rPr>
          <w:sz w:val="22"/>
        </w:rPr>
        <w:t xml:space="preserve">taa 9. </w:t>
      </w:r>
      <w:r w:rsidRPr="008E3DDB">
        <w:rPr>
          <w:sz w:val="22"/>
        </w:rPr>
        <w:t xml:space="preserve"> </w:t>
      </w:r>
      <w:r>
        <w:rPr>
          <w:sz w:val="22"/>
        </w:rPr>
        <w:t>Tämä ei vaikuta perustellulta:</w:t>
      </w:r>
      <w:r w:rsidRPr="008E3DDB">
        <w:rPr>
          <w:sz w:val="22"/>
        </w:rPr>
        <w:t xml:space="preserve"> </w:t>
      </w:r>
      <w:r>
        <w:rPr>
          <w:sz w:val="22"/>
        </w:rPr>
        <w:t xml:space="preserve">Kyseisen säännöksen </w:t>
      </w:r>
      <w:r w:rsidRPr="008E3DDB">
        <w:rPr>
          <w:sz w:val="22"/>
        </w:rPr>
        <w:t xml:space="preserve">mukaan </w:t>
      </w:r>
      <w:r>
        <w:rPr>
          <w:sz w:val="22"/>
        </w:rPr>
        <w:t>j</w:t>
      </w:r>
      <w:r>
        <w:rPr>
          <w:sz w:val="22"/>
        </w:rPr>
        <w:t>a</w:t>
      </w:r>
      <w:r>
        <w:rPr>
          <w:sz w:val="22"/>
        </w:rPr>
        <w:t>kautumis</w:t>
      </w:r>
      <w:r w:rsidRPr="008E3DDB">
        <w:rPr>
          <w:sz w:val="22"/>
        </w:rPr>
        <w:t xml:space="preserve">suunnitelman tulee sisältää </w:t>
      </w:r>
      <w:r>
        <w:rPr>
          <w:sz w:val="22"/>
        </w:rPr>
        <w:t>mm. ehdotukset</w:t>
      </w:r>
      <w:r w:rsidRPr="008E3DDB">
        <w:rPr>
          <w:sz w:val="22"/>
        </w:rPr>
        <w:t xml:space="preserve"> jakautuvan yhtiön varojen ja velkojen jakamisesta kullekin jakautumiseen osallistuvalle yhtiölle</w:t>
      </w:r>
      <w:r>
        <w:rPr>
          <w:sz w:val="22"/>
        </w:rPr>
        <w:t xml:space="preserve">, </w:t>
      </w:r>
      <w:r w:rsidRPr="008E3DDB">
        <w:rPr>
          <w:sz w:val="22"/>
        </w:rPr>
        <w:t>jakautumisen vaiku</w:t>
      </w:r>
      <w:r>
        <w:rPr>
          <w:sz w:val="22"/>
        </w:rPr>
        <w:t>tuksen</w:t>
      </w:r>
      <w:r w:rsidRPr="008E3DDB">
        <w:rPr>
          <w:sz w:val="22"/>
        </w:rPr>
        <w:t xml:space="preserve"> va</w:t>
      </w:r>
      <w:r w:rsidRPr="008E3DDB">
        <w:rPr>
          <w:sz w:val="22"/>
        </w:rPr>
        <w:t>s</w:t>
      </w:r>
      <w:r w:rsidRPr="008E3DDB">
        <w:rPr>
          <w:sz w:val="22"/>
        </w:rPr>
        <w:t>taanottavan yhtiön taseeseen sekä jakautumiseen sovellettavista kirjanpidollisista menete</w:t>
      </w:r>
      <w:r w:rsidRPr="008E3DDB">
        <w:rPr>
          <w:sz w:val="22"/>
        </w:rPr>
        <w:t>l</w:t>
      </w:r>
      <w:r w:rsidRPr="008E3DDB">
        <w:rPr>
          <w:sz w:val="22"/>
        </w:rPr>
        <w:t>mistä.</w:t>
      </w:r>
      <w:r>
        <w:rPr>
          <w:sz w:val="22"/>
        </w:rPr>
        <w:t xml:space="preserve"> Kaiken tämän informaation poisjättäminen vaikeuttaisi velkojien mahdollisuutta arv</w:t>
      </w:r>
      <w:r>
        <w:rPr>
          <w:sz w:val="22"/>
        </w:rPr>
        <w:t>i</w:t>
      </w:r>
      <w:r>
        <w:rPr>
          <w:sz w:val="22"/>
        </w:rPr>
        <w:t>oida suunniteltua jakautumista. Lisäksi vaikuttaa, että Esitysluonnoksessa olisi tältä osin menty direktiivien tarkoittamaa jakautumissuunnitelman sisältöä suppeammaksi.</w:t>
      </w:r>
    </w:p>
    <w:p w:rsidR="00222E88" w:rsidRDefault="00222E88" w:rsidP="00D01413">
      <w:pPr>
        <w:pStyle w:val="Heading2"/>
        <w:spacing w:line="360" w:lineRule="auto"/>
      </w:pPr>
      <w:r>
        <w:t>OYL 17:4 §</w:t>
      </w:r>
    </w:p>
    <w:p w:rsidR="00222E88" w:rsidRPr="00D01413" w:rsidRDefault="00222E88" w:rsidP="00D01413">
      <w:pPr>
        <w:spacing w:line="360" w:lineRule="auto"/>
        <w:rPr>
          <w:sz w:val="22"/>
        </w:rPr>
      </w:pPr>
      <w:r w:rsidRPr="00D01413">
        <w:rPr>
          <w:sz w:val="22"/>
        </w:rPr>
        <w:t>PwC kannattaa Esitysluonnokseen sisältyvää muutosta ja ehdottaa, että muutos voitaisiin ulottaa ko</w:t>
      </w:r>
      <w:r w:rsidRPr="00D01413">
        <w:rPr>
          <w:sz w:val="22"/>
        </w:rPr>
        <w:t>s</w:t>
      </w:r>
      <w:r w:rsidRPr="00D01413">
        <w:rPr>
          <w:sz w:val="22"/>
        </w:rPr>
        <w:t>kemaan myös vastaavia osittaisjakautumisia.</w:t>
      </w:r>
    </w:p>
    <w:p w:rsidR="00222E88" w:rsidRDefault="00222E88" w:rsidP="00D01413">
      <w:pPr>
        <w:pStyle w:val="Heading2"/>
        <w:spacing w:line="360" w:lineRule="auto"/>
      </w:pPr>
      <w:r>
        <w:t xml:space="preserve">OYL 17:9 </w:t>
      </w:r>
      <w:r w:rsidRPr="0053383D">
        <w:t>§</w:t>
      </w:r>
      <w:r>
        <w:t xml:space="preserve"> 2 momentti</w:t>
      </w:r>
      <w:r w:rsidRPr="0053383D">
        <w:t xml:space="preserve"> </w:t>
      </w:r>
    </w:p>
    <w:p w:rsidR="00222E88" w:rsidRDefault="00222E88" w:rsidP="00D01413">
      <w:pPr>
        <w:spacing w:line="360" w:lineRule="auto"/>
        <w:jc w:val="both"/>
        <w:rPr>
          <w:sz w:val="22"/>
        </w:rPr>
      </w:pPr>
      <w:r>
        <w:rPr>
          <w:sz w:val="22"/>
        </w:rPr>
        <w:t>Esitysluonnoksen sisältämässä säännöstekstiehdotuksessa on maininta sulautuvasta yhtiöstä vaikka selvästi tarkoitetaan jakautuvaa yhtiötä.</w:t>
      </w:r>
    </w:p>
    <w:p w:rsidR="00222E88" w:rsidRDefault="00222E88" w:rsidP="00D01413">
      <w:pPr>
        <w:pStyle w:val="Heading2"/>
        <w:spacing w:line="360" w:lineRule="auto"/>
      </w:pPr>
      <w:r>
        <w:t>OYL 17:11 §</w:t>
      </w:r>
      <w:r w:rsidRPr="0053383D">
        <w:t xml:space="preserve"> </w:t>
      </w:r>
    </w:p>
    <w:p w:rsidR="00D01413" w:rsidRDefault="00222E88" w:rsidP="00D01413">
      <w:pPr>
        <w:spacing w:line="360" w:lineRule="auto"/>
        <w:jc w:val="both"/>
        <w:rPr>
          <w:sz w:val="22"/>
        </w:rPr>
      </w:pPr>
      <w:r>
        <w:rPr>
          <w:sz w:val="22"/>
        </w:rPr>
        <w:t>1 momentin kohdan 3 osalta viitataan edellä OYL 16:11 §:n osalta lausuttuun. 2 momentin osalta PwC esittää OYL 17:4 §:ää vastaavasti, että muutos voitaisiin ulottaa vastaaviin osi</w:t>
      </w:r>
      <w:r>
        <w:rPr>
          <w:sz w:val="22"/>
        </w:rPr>
        <w:t>t</w:t>
      </w:r>
      <w:r>
        <w:rPr>
          <w:sz w:val="22"/>
        </w:rPr>
        <w:t>taisjakautumisiinkin.</w:t>
      </w:r>
    </w:p>
    <w:p w:rsidR="00D01413" w:rsidRDefault="00D01413" w:rsidP="00D01413">
      <w:pPr>
        <w:spacing w:line="240" w:lineRule="auto"/>
        <w:jc w:val="both"/>
        <w:rPr>
          <w:rFonts w:asciiTheme="majorHAnsi" w:hAnsiTheme="majorHAnsi"/>
          <w:sz w:val="22"/>
        </w:rPr>
      </w:pPr>
    </w:p>
    <w:p w:rsidR="00D01413" w:rsidRDefault="00D01413" w:rsidP="00D01413">
      <w:pPr>
        <w:spacing w:line="24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Helsingissä 4.4.2011</w:t>
      </w:r>
    </w:p>
    <w:p w:rsidR="00D01413" w:rsidRDefault="00D01413" w:rsidP="00D01413">
      <w:pPr>
        <w:pStyle w:val="BodyText"/>
        <w:spacing w:after="0" w:line="240" w:lineRule="auto"/>
        <w:rPr>
          <w:rFonts w:asciiTheme="majorHAnsi" w:hAnsiTheme="majorHAnsi"/>
          <w:sz w:val="22"/>
        </w:rPr>
      </w:pPr>
    </w:p>
    <w:p w:rsidR="00222E88" w:rsidRDefault="00222E88" w:rsidP="00D01413">
      <w:pPr>
        <w:pStyle w:val="BodyText"/>
        <w:spacing w:after="0" w:line="24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Kunnioittavasti</w:t>
      </w:r>
    </w:p>
    <w:p w:rsidR="00222E88" w:rsidRDefault="00222E88" w:rsidP="00D01413">
      <w:pPr>
        <w:pStyle w:val="BodyText"/>
        <w:spacing w:after="0" w:line="240" w:lineRule="auto"/>
        <w:rPr>
          <w:rFonts w:asciiTheme="majorHAnsi" w:hAnsiTheme="majorHAnsi"/>
          <w:b/>
          <w:sz w:val="22"/>
        </w:rPr>
      </w:pPr>
    </w:p>
    <w:p w:rsidR="00222E88" w:rsidRDefault="00222E88" w:rsidP="00D01413">
      <w:pPr>
        <w:pStyle w:val="BodyText"/>
        <w:spacing w:after="0" w:line="240" w:lineRule="auto"/>
        <w:rPr>
          <w:rFonts w:asciiTheme="majorHAnsi" w:hAnsiTheme="majorHAnsi"/>
          <w:b/>
          <w:sz w:val="22"/>
        </w:rPr>
      </w:pPr>
      <w:r w:rsidRPr="0060458E">
        <w:rPr>
          <w:rFonts w:asciiTheme="majorHAnsi" w:hAnsiTheme="majorHAnsi"/>
          <w:b/>
          <w:sz w:val="22"/>
        </w:rPr>
        <w:t>PricewaterhouseCoopers Oy</w:t>
      </w:r>
    </w:p>
    <w:p w:rsidR="00D01413" w:rsidRDefault="00D01413" w:rsidP="00D01413">
      <w:pPr>
        <w:pStyle w:val="BodyText"/>
        <w:spacing w:after="0" w:line="240" w:lineRule="auto"/>
        <w:rPr>
          <w:rFonts w:asciiTheme="majorHAnsi" w:hAnsiTheme="majorHAnsi"/>
          <w:b/>
          <w:sz w:val="22"/>
        </w:rPr>
      </w:pPr>
    </w:p>
    <w:p w:rsidR="00D01413" w:rsidRPr="0060458E" w:rsidRDefault="00D01413" w:rsidP="00D01413">
      <w:pPr>
        <w:pStyle w:val="BodyText"/>
        <w:spacing w:after="0" w:line="240" w:lineRule="auto"/>
        <w:rPr>
          <w:rFonts w:asciiTheme="majorHAnsi" w:hAnsiTheme="majorHAnsi"/>
          <w:b/>
          <w:sz w:val="22"/>
        </w:rPr>
      </w:pPr>
    </w:p>
    <w:p w:rsidR="00222E88" w:rsidRPr="00406B70" w:rsidRDefault="00222E88" w:rsidP="00D01413">
      <w:pPr>
        <w:pStyle w:val="BodyText"/>
        <w:spacing w:after="0" w:line="240" w:lineRule="auto"/>
        <w:rPr>
          <w:rFonts w:asciiTheme="majorHAnsi" w:hAnsiTheme="majorHAnsi"/>
          <w:sz w:val="22"/>
        </w:rPr>
      </w:pPr>
      <w:r w:rsidRPr="00406B70">
        <w:rPr>
          <w:rFonts w:asciiTheme="majorHAnsi" w:hAnsiTheme="majorHAnsi"/>
          <w:sz w:val="22"/>
        </w:rPr>
        <w:t>Merja Raunio</w:t>
      </w:r>
      <w:r w:rsidRPr="00406B70">
        <w:rPr>
          <w:rFonts w:asciiTheme="majorHAnsi" w:hAnsiTheme="majorHAnsi"/>
          <w:sz w:val="22"/>
        </w:rPr>
        <w:tab/>
      </w:r>
      <w:r w:rsidRPr="00406B70">
        <w:rPr>
          <w:rFonts w:asciiTheme="majorHAnsi" w:hAnsiTheme="majorHAnsi"/>
          <w:sz w:val="22"/>
        </w:rPr>
        <w:tab/>
        <w:t>Mikko Reinikainen</w:t>
      </w:r>
      <w:r w:rsidRPr="00406B70">
        <w:rPr>
          <w:rFonts w:asciiTheme="majorHAnsi" w:hAnsiTheme="majorHAnsi"/>
          <w:sz w:val="22"/>
        </w:rPr>
        <w:br/>
        <w:t>Partner</w:t>
      </w:r>
      <w:r w:rsidRPr="00406B70">
        <w:rPr>
          <w:rFonts w:asciiTheme="majorHAnsi" w:hAnsiTheme="majorHAnsi"/>
          <w:sz w:val="22"/>
        </w:rPr>
        <w:tab/>
      </w:r>
      <w:r w:rsidRPr="00406B70">
        <w:rPr>
          <w:rFonts w:asciiTheme="majorHAnsi" w:hAnsiTheme="majorHAnsi"/>
          <w:sz w:val="22"/>
        </w:rPr>
        <w:tab/>
      </w:r>
      <w:r w:rsidRPr="00406B70">
        <w:rPr>
          <w:rFonts w:asciiTheme="majorHAnsi" w:hAnsiTheme="majorHAnsi"/>
          <w:sz w:val="22"/>
        </w:rPr>
        <w:tab/>
        <w:t>Partner</w:t>
      </w:r>
    </w:p>
    <w:sectPr w:rsidR="00222E88" w:rsidRPr="00406B70" w:rsidSect="005353CB">
      <w:headerReference w:type="even" r:id="rId8"/>
      <w:headerReference w:type="default" r:id="rId9"/>
      <w:headerReference w:type="first" r:id="rId10"/>
      <w:pgSz w:w="11907" w:h="16839" w:code="9"/>
      <w:pgMar w:top="3136" w:right="851" w:bottom="2019" w:left="1985" w:header="104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88" w:rsidRDefault="00222E88">
      <w:pPr>
        <w:spacing w:line="240" w:lineRule="auto"/>
      </w:pPr>
      <w:r>
        <w:separator/>
      </w:r>
    </w:p>
  </w:endnote>
  <w:endnote w:type="continuationSeparator" w:id="0">
    <w:p w:rsidR="00222E88" w:rsidRDefault="00222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88" w:rsidRDefault="00222E88">
      <w:pPr>
        <w:spacing w:line="240" w:lineRule="auto"/>
      </w:pPr>
      <w:r>
        <w:separator/>
      </w:r>
    </w:p>
  </w:footnote>
  <w:footnote w:type="continuationSeparator" w:id="0">
    <w:p w:rsidR="00222E88" w:rsidRDefault="00222E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42" w:rsidRDefault="00ED63AC">
    <w:pPr>
      <w:pStyle w:val="Header"/>
    </w:pPr>
    <w:bookmarkStart w:id="3" w:name="EvenPageHeader"/>
    <w:bookmarkEnd w:id="3"/>
    <w:r>
      <w:rPr>
        <w:noProof/>
        <w:lang w:eastAsia="fi-FI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2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67"/>
      <w:gridCol w:w="1495"/>
    </w:tblGrid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</w:pPr>
        </w:p>
      </w:tc>
      <w:tc>
        <w:tcPr>
          <w:tcW w:w="1495" w:type="dxa"/>
          <w:vAlign w:val="center"/>
        </w:tcPr>
        <w:p w:rsidR="00217427" w:rsidRDefault="00952D2B" w:rsidP="00D12E86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B723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217427"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483EE3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 w:rsidR="00217427">
            <w:rPr>
              <w:rStyle w:val="PageNumber"/>
            </w:rPr>
            <w:t>)</w:t>
          </w: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</w:pPr>
        </w:p>
      </w:tc>
      <w:tc>
        <w:tcPr>
          <w:tcW w:w="1495" w:type="dxa"/>
        </w:tcPr>
        <w:p w:rsidR="00217427" w:rsidRDefault="00217427" w:rsidP="00D12E86">
          <w:pPr>
            <w:pStyle w:val="Header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/>
      </w:tc>
      <w:tc>
        <w:tcPr>
          <w:tcW w:w="1495" w:type="dxa"/>
        </w:tcPr>
        <w:p w:rsidR="00217427" w:rsidRDefault="00217427" w:rsidP="00D12E86"/>
      </w:tc>
    </w:tr>
  </w:tbl>
  <w:p w:rsidR="003E6542" w:rsidRDefault="003E6542" w:rsidP="00491B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42" w:rsidRDefault="003E6542">
    <w:pPr>
      <w:pStyle w:val="Header"/>
    </w:pPr>
  </w:p>
  <w:tbl>
    <w:tblPr>
      <w:tblStyle w:val="TableGrid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67"/>
      <w:gridCol w:w="1495"/>
    </w:tblGrid>
    <w:tr w:rsidR="00A74A03" w:rsidTr="00EF4210">
      <w:tc>
        <w:tcPr>
          <w:tcW w:w="2067" w:type="dxa"/>
          <w:vAlign w:val="center"/>
        </w:tcPr>
        <w:p w:rsidR="00A74A03" w:rsidRDefault="00222E88" w:rsidP="00EF4210">
          <w:pPr>
            <w:pStyle w:val="Header"/>
          </w:pPr>
          <w:r>
            <w:t>LAUSUNTO</w:t>
          </w:r>
        </w:p>
      </w:tc>
      <w:tc>
        <w:tcPr>
          <w:tcW w:w="1495" w:type="dxa"/>
          <w:vAlign w:val="center"/>
        </w:tcPr>
        <w:p w:rsidR="00A74A03" w:rsidRDefault="00952D2B" w:rsidP="00EF4210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 w:rsidR="00A74A03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483EE3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 w:rsidR="00A74A03"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 w:rsidR="00A74A03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483EE3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 w:rsidR="00A74A03">
            <w:rPr>
              <w:rStyle w:val="PageNumber"/>
            </w:rPr>
            <w:t>)</w:t>
          </w:r>
        </w:p>
      </w:tc>
    </w:tr>
    <w:tr w:rsidR="00A74A03" w:rsidTr="00EF4210">
      <w:tc>
        <w:tcPr>
          <w:tcW w:w="2067" w:type="dxa"/>
          <w:vAlign w:val="center"/>
        </w:tcPr>
        <w:p w:rsidR="00A74A03" w:rsidRDefault="00A74A03" w:rsidP="00EF4210">
          <w:pPr>
            <w:pStyle w:val="Header"/>
          </w:pPr>
        </w:p>
      </w:tc>
      <w:tc>
        <w:tcPr>
          <w:tcW w:w="1495" w:type="dxa"/>
          <w:vAlign w:val="center"/>
        </w:tcPr>
        <w:p w:rsidR="00A74A03" w:rsidRDefault="00A74A03" w:rsidP="00EF4210">
          <w:pPr>
            <w:pStyle w:val="Footer"/>
            <w:jc w:val="right"/>
          </w:pPr>
        </w:p>
      </w:tc>
    </w:tr>
    <w:tr w:rsidR="00A74A03" w:rsidTr="00EF4210">
      <w:tc>
        <w:tcPr>
          <w:tcW w:w="2067" w:type="dxa"/>
          <w:vAlign w:val="center"/>
        </w:tcPr>
        <w:p w:rsidR="00A74A03" w:rsidRDefault="00A74A03" w:rsidP="00EF4210">
          <w:pPr>
            <w:pStyle w:val="Header"/>
          </w:pPr>
        </w:p>
      </w:tc>
      <w:tc>
        <w:tcPr>
          <w:tcW w:w="1495" w:type="dxa"/>
          <w:vAlign w:val="center"/>
        </w:tcPr>
        <w:p w:rsidR="00A74A03" w:rsidRDefault="00A74A03" w:rsidP="00EF4210">
          <w:pPr>
            <w:pStyle w:val="Footer"/>
            <w:jc w:val="right"/>
          </w:pPr>
        </w:p>
      </w:tc>
    </w:tr>
    <w:tr w:rsidR="00A74A03" w:rsidTr="00EF4210">
      <w:tc>
        <w:tcPr>
          <w:tcW w:w="2067" w:type="dxa"/>
          <w:vAlign w:val="center"/>
        </w:tcPr>
        <w:p w:rsidR="00A74A03" w:rsidRDefault="00A74A03" w:rsidP="00EF4210">
          <w:pPr>
            <w:pStyle w:val="Header"/>
          </w:pPr>
        </w:p>
      </w:tc>
      <w:tc>
        <w:tcPr>
          <w:tcW w:w="1495" w:type="dxa"/>
          <w:vAlign w:val="center"/>
        </w:tcPr>
        <w:p w:rsidR="00A74A03" w:rsidRDefault="00A74A03" w:rsidP="00EF4210">
          <w:pPr>
            <w:pStyle w:val="Footer"/>
            <w:jc w:val="right"/>
          </w:pPr>
        </w:p>
      </w:tc>
    </w:tr>
    <w:tr w:rsidR="00A74A03" w:rsidTr="00EF4210">
      <w:tc>
        <w:tcPr>
          <w:tcW w:w="2067" w:type="dxa"/>
          <w:vAlign w:val="center"/>
        </w:tcPr>
        <w:p w:rsidR="00A74A03" w:rsidRDefault="00A74A03" w:rsidP="00EF4210">
          <w:pPr>
            <w:pStyle w:val="Header"/>
          </w:pPr>
        </w:p>
      </w:tc>
      <w:tc>
        <w:tcPr>
          <w:tcW w:w="1495" w:type="dxa"/>
          <w:vAlign w:val="center"/>
        </w:tcPr>
        <w:p w:rsidR="00A74A03" w:rsidRDefault="00A74A03" w:rsidP="00EF4210">
          <w:pPr>
            <w:pStyle w:val="Footer"/>
            <w:jc w:val="right"/>
          </w:pPr>
        </w:p>
      </w:tc>
    </w:tr>
    <w:tr w:rsidR="00A74A03" w:rsidTr="00EF4210">
      <w:tc>
        <w:tcPr>
          <w:tcW w:w="2067" w:type="dxa"/>
          <w:vAlign w:val="center"/>
        </w:tcPr>
        <w:p w:rsidR="00A74A03" w:rsidRDefault="00A74A03" w:rsidP="00EF4210">
          <w:pPr>
            <w:pStyle w:val="Header"/>
          </w:pPr>
        </w:p>
      </w:tc>
      <w:tc>
        <w:tcPr>
          <w:tcW w:w="1495" w:type="dxa"/>
        </w:tcPr>
        <w:p w:rsidR="00A74A03" w:rsidRDefault="00A74A03" w:rsidP="00EF4210">
          <w:pPr>
            <w:pStyle w:val="Header"/>
          </w:pPr>
        </w:p>
      </w:tc>
    </w:tr>
    <w:tr w:rsidR="00A74A03" w:rsidTr="00EF4210">
      <w:tc>
        <w:tcPr>
          <w:tcW w:w="2067" w:type="dxa"/>
          <w:vAlign w:val="center"/>
        </w:tcPr>
        <w:p w:rsidR="00A74A03" w:rsidRDefault="00A74A03" w:rsidP="00EF4210"/>
      </w:tc>
      <w:tc>
        <w:tcPr>
          <w:tcW w:w="1495" w:type="dxa"/>
        </w:tcPr>
        <w:p w:rsidR="00A74A03" w:rsidRDefault="00A74A03" w:rsidP="00EF4210"/>
      </w:tc>
    </w:tr>
  </w:tbl>
  <w:p w:rsidR="003E6542" w:rsidRDefault="003E65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3735" w:type="dxa"/>
      <w:tblInd w:w="51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11"/>
      <w:gridCol w:w="1024"/>
    </w:tblGrid>
    <w:tr w:rsidR="00217427" w:rsidTr="00476A86">
      <w:tc>
        <w:tcPr>
          <w:tcW w:w="2711" w:type="dxa"/>
          <w:vAlign w:val="center"/>
        </w:tcPr>
        <w:p w:rsidR="00217427" w:rsidRDefault="00222E88" w:rsidP="00D12E86">
          <w:pPr>
            <w:pStyle w:val="Header"/>
          </w:pPr>
          <w:bookmarkStart w:id="4" w:name="FirstPageHeader"/>
          <w:bookmarkStart w:id="5" w:name="docTitle"/>
          <w:bookmarkEnd w:id="4"/>
          <w:bookmarkEnd w:id="5"/>
          <w:r>
            <w:t>LAUSUNTO</w:t>
          </w:r>
        </w:p>
      </w:tc>
      <w:tc>
        <w:tcPr>
          <w:tcW w:w="1024" w:type="dxa"/>
          <w:vAlign w:val="center"/>
        </w:tcPr>
        <w:p w:rsidR="00217427" w:rsidRDefault="00952D2B" w:rsidP="00D12E86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483EE3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 w:rsidR="00217427"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483EE3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 w:rsidR="00217427">
            <w:rPr>
              <w:rStyle w:val="PageNumber"/>
            </w:rPr>
            <w:t>)</w:t>
          </w:r>
        </w:p>
      </w:tc>
    </w:tr>
    <w:tr w:rsidR="00217427" w:rsidTr="00476A86">
      <w:tc>
        <w:tcPr>
          <w:tcW w:w="2711" w:type="dxa"/>
          <w:vAlign w:val="center"/>
        </w:tcPr>
        <w:p w:rsidR="00217427" w:rsidRDefault="00217427" w:rsidP="00D12E86">
          <w:pPr>
            <w:pStyle w:val="Header"/>
          </w:pPr>
        </w:p>
      </w:tc>
      <w:tc>
        <w:tcPr>
          <w:tcW w:w="1024" w:type="dxa"/>
          <w:vAlign w:val="center"/>
        </w:tcPr>
        <w:p w:rsidR="00217427" w:rsidRDefault="00217427" w:rsidP="00D12E86">
          <w:pPr>
            <w:pStyle w:val="Footer"/>
            <w:jc w:val="right"/>
          </w:pPr>
        </w:p>
      </w:tc>
    </w:tr>
    <w:tr w:rsidR="00217427" w:rsidTr="00476A86">
      <w:tc>
        <w:tcPr>
          <w:tcW w:w="2711" w:type="dxa"/>
          <w:vAlign w:val="center"/>
        </w:tcPr>
        <w:p w:rsidR="00217427" w:rsidRDefault="00217427" w:rsidP="00D12E86">
          <w:pPr>
            <w:pStyle w:val="Header"/>
          </w:pPr>
        </w:p>
      </w:tc>
      <w:tc>
        <w:tcPr>
          <w:tcW w:w="1024" w:type="dxa"/>
          <w:vAlign w:val="center"/>
        </w:tcPr>
        <w:p w:rsidR="00217427" w:rsidRDefault="00217427" w:rsidP="00D12E86">
          <w:pPr>
            <w:pStyle w:val="Footer"/>
            <w:jc w:val="right"/>
          </w:pPr>
        </w:p>
      </w:tc>
    </w:tr>
    <w:tr w:rsidR="00217427" w:rsidTr="00476A86">
      <w:tc>
        <w:tcPr>
          <w:tcW w:w="2711" w:type="dxa"/>
          <w:vAlign w:val="center"/>
        </w:tcPr>
        <w:p w:rsidR="00217427" w:rsidRDefault="00217427" w:rsidP="00D12E86">
          <w:pPr>
            <w:pStyle w:val="Header"/>
          </w:pPr>
        </w:p>
      </w:tc>
      <w:tc>
        <w:tcPr>
          <w:tcW w:w="1024" w:type="dxa"/>
        </w:tcPr>
        <w:p w:rsidR="00217427" w:rsidRDefault="00217427" w:rsidP="00D12E86">
          <w:pPr>
            <w:pStyle w:val="Header"/>
          </w:pPr>
        </w:p>
      </w:tc>
    </w:tr>
    <w:tr w:rsidR="00217427" w:rsidTr="00476A86">
      <w:tc>
        <w:tcPr>
          <w:tcW w:w="2711" w:type="dxa"/>
          <w:vAlign w:val="center"/>
        </w:tcPr>
        <w:p w:rsidR="00217427" w:rsidRDefault="00222E88" w:rsidP="00D12E86">
          <w:bookmarkStart w:id="6" w:name="amebaDate"/>
          <w:r>
            <w:t>4.4.2011</w:t>
          </w:r>
          <w:bookmarkEnd w:id="6"/>
        </w:p>
      </w:tc>
      <w:tc>
        <w:tcPr>
          <w:tcW w:w="1024" w:type="dxa"/>
        </w:tcPr>
        <w:p w:rsidR="00217427" w:rsidRDefault="00217427" w:rsidP="00D12E86"/>
      </w:tc>
    </w:tr>
  </w:tbl>
  <w:p w:rsidR="00217427" w:rsidRDefault="00217427" w:rsidP="00217427">
    <w:pPr>
      <w:pStyle w:val="Header"/>
    </w:pPr>
  </w:p>
  <w:p w:rsidR="003E6542" w:rsidRDefault="003E6542" w:rsidP="00940BA1">
    <w:pPr>
      <w:pStyle w:val="PREPRINT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447"/>
    <w:multiLevelType w:val="multilevel"/>
    <w:tmpl w:val="2E062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8552E77"/>
    <w:multiLevelType w:val="hybridMultilevel"/>
    <w:tmpl w:val="95AC4C98"/>
    <w:lvl w:ilvl="0" w:tplc="87CC3B3E">
      <w:start w:val="1"/>
      <w:numFmt w:val="bullet"/>
      <w:pStyle w:val="ListBullet3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8905486"/>
    <w:multiLevelType w:val="multilevel"/>
    <w:tmpl w:val="EB1C10D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pStyle w:val="ListBullet4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">
    <w:nsid w:val="3A57486E"/>
    <w:multiLevelType w:val="multilevel"/>
    <w:tmpl w:val="EE3860A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E516241"/>
    <w:multiLevelType w:val="multilevel"/>
    <w:tmpl w:val="CD4C98AE"/>
    <w:styleLink w:val="Bullet-list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6">
    <w:nsid w:val="4A6951A4"/>
    <w:multiLevelType w:val="multilevel"/>
    <w:tmpl w:val="1D6E89B6"/>
    <w:numStyleLink w:val="Style1"/>
  </w:abstractNum>
  <w:abstractNum w:abstractNumId="7">
    <w:nsid w:val="59543105"/>
    <w:multiLevelType w:val="multilevel"/>
    <w:tmpl w:val="EE3860A0"/>
    <w:styleLink w:val="Numerointilist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>
    <w:nsid w:val="687A6EC0"/>
    <w:multiLevelType w:val="multilevel"/>
    <w:tmpl w:val="1D6E89B6"/>
    <w:styleLink w:val="Style1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D01413"/>
    <w:rsid w:val="00014D39"/>
    <w:rsid w:val="000335CB"/>
    <w:rsid w:val="000374D2"/>
    <w:rsid w:val="00074BC1"/>
    <w:rsid w:val="000A6E99"/>
    <w:rsid w:val="000E49B0"/>
    <w:rsid w:val="000F1F23"/>
    <w:rsid w:val="00106FFC"/>
    <w:rsid w:val="0011087B"/>
    <w:rsid w:val="00111A8D"/>
    <w:rsid w:val="00117151"/>
    <w:rsid w:val="00125B08"/>
    <w:rsid w:val="0017674A"/>
    <w:rsid w:val="001B5929"/>
    <w:rsid w:val="001F5DB0"/>
    <w:rsid w:val="00206FA2"/>
    <w:rsid w:val="00217427"/>
    <w:rsid w:val="00222E88"/>
    <w:rsid w:val="00230CEF"/>
    <w:rsid w:val="0026203C"/>
    <w:rsid w:val="00281245"/>
    <w:rsid w:val="00296164"/>
    <w:rsid w:val="002962EE"/>
    <w:rsid w:val="002B723A"/>
    <w:rsid w:val="002F093E"/>
    <w:rsid w:val="00300A1B"/>
    <w:rsid w:val="00307832"/>
    <w:rsid w:val="00333806"/>
    <w:rsid w:val="00336508"/>
    <w:rsid w:val="00337464"/>
    <w:rsid w:val="00354250"/>
    <w:rsid w:val="0036476C"/>
    <w:rsid w:val="00371C76"/>
    <w:rsid w:val="003930D7"/>
    <w:rsid w:val="003E6542"/>
    <w:rsid w:val="003F0A26"/>
    <w:rsid w:val="003F548A"/>
    <w:rsid w:val="00405C65"/>
    <w:rsid w:val="00407FCA"/>
    <w:rsid w:val="00412F4D"/>
    <w:rsid w:val="004274BF"/>
    <w:rsid w:val="00433433"/>
    <w:rsid w:val="00434E36"/>
    <w:rsid w:val="0045789C"/>
    <w:rsid w:val="00476A86"/>
    <w:rsid w:val="00481A98"/>
    <w:rsid w:val="00481AC3"/>
    <w:rsid w:val="00483EE3"/>
    <w:rsid w:val="00491B96"/>
    <w:rsid w:val="004A6C71"/>
    <w:rsid w:val="004B39D9"/>
    <w:rsid w:val="004B4FC7"/>
    <w:rsid w:val="004B6660"/>
    <w:rsid w:val="004C3ACD"/>
    <w:rsid w:val="004C41E1"/>
    <w:rsid w:val="004C571D"/>
    <w:rsid w:val="00516F6C"/>
    <w:rsid w:val="005255A6"/>
    <w:rsid w:val="00531FC1"/>
    <w:rsid w:val="005353CB"/>
    <w:rsid w:val="0053748A"/>
    <w:rsid w:val="00544C58"/>
    <w:rsid w:val="00552969"/>
    <w:rsid w:val="00567180"/>
    <w:rsid w:val="00572C47"/>
    <w:rsid w:val="005907D5"/>
    <w:rsid w:val="005A1F06"/>
    <w:rsid w:val="005A36C1"/>
    <w:rsid w:val="005B38F3"/>
    <w:rsid w:val="005F25A1"/>
    <w:rsid w:val="00600145"/>
    <w:rsid w:val="00616DD0"/>
    <w:rsid w:val="006C396F"/>
    <w:rsid w:val="006C6EE5"/>
    <w:rsid w:val="00700A7D"/>
    <w:rsid w:val="007148A1"/>
    <w:rsid w:val="00724502"/>
    <w:rsid w:val="00753864"/>
    <w:rsid w:val="0075397B"/>
    <w:rsid w:val="00755E47"/>
    <w:rsid w:val="0079371A"/>
    <w:rsid w:val="007A52C1"/>
    <w:rsid w:val="007B566E"/>
    <w:rsid w:val="007C00E4"/>
    <w:rsid w:val="007D5486"/>
    <w:rsid w:val="007E585B"/>
    <w:rsid w:val="00821BE0"/>
    <w:rsid w:val="00844DBA"/>
    <w:rsid w:val="008466E1"/>
    <w:rsid w:val="00847C92"/>
    <w:rsid w:val="00851171"/>
    <w:rsid w:val="008751CE"/>
    <w:rsid w:val="008A09DA"/>
    <w:rsid w:val="008A100E"/>
    <w:rsid w:val="008D4324"/>
    <w:rsid w:val="008F575F"/>
    <w:rsid w:val="008F6E55"/>
    <w:rsid w:val="00903D93"/>
    <w:rsid w:val="00916712"/>
    <w:rsid w:val="00940BA1"/>
    <w:rsid w:val="009518CC"/>
    <w:rsid w:val="00952D2B"/>
    <w:rsid w:val="009862C1"/>
    <w:rsid w:val="00990BC7"/>
    <w:rsid w:val="00991946"/>
    <w:rsid w:val="009B7E6C"/>
    <w:rsid w:val="009C137D"/>
    <w:rsid w:val="009C7739"/>
    <w:rsid w:val="009D3BF3"/>
    <w:rsid w:val="009D59F6"/>
    <w:rsid w:val="009E18A8"/>
    <w:rsid w:val="00A010CC"/>
    <w:rsid w:val="00A1257A"/>
    <w:rsid w:val="00A339EC"/>
    <w:rsid w:val="00A74A03"/>
    <w:rsid w:val="00A75317"/>
    <w:rsid w:val="00A7759A"/>
    <w:rsid w:val="00A96F7A"/>
    <w:rsid w:val="00AC0F0F"/>
    <w:rsid w:val="00AC532E"/>
    <w:rsid w:val="00AC602A"/>
    <w:rsid w:val="00B11B32"/>
    <w:rsid w:val="00B31E2E"/>
    <w:rsid w:val="00B425BF"/>
    <w:rsid w:val="00B636A5"/>
    <w:rsid w:val="00B7257F"/>
    <w:rsid w:val="00B820A3"/>
    <w:rsid w:val="00BB2E18"/>
    <w:rsid w:val="00BC5040"/>
    <w:rsid w:val="00BC5296"/>
    <w:rsid w:val="00BC5CBC"/>
    <w:rsid w:val="00BD299A"/>
    <w:rsid w:val="00BF1DB2"/>
    <w:rsid w:val="00C45EEA"/>
    <w:rsid w:val="00C51560"/>
    <w:rsid w:val="00C5267D"/>
    <w:rsid w:val="00C54527"/>
    <w:rsid w:val="00C63D3C"/>
    <w:rsid w:val="00C767C3"/>
    <w:rsid w:val="00C9310A"/>
    <w:rsid w:val="00CC2936"/>
    <w:rsid w:val="00CC5074"/>
    <w:rsid w:val="00D01413"/>
    <w:rsid w:val="00D3009D"/>
    <w:rsid w:val="00D3620A"/>
    <w:rsid w:val="00D3767B"/>
    <w:rsid w:val="00D4180E"/>
    <w:rsid w:val="00D44FA5"/>
    <w:rsid w:val="00D500AD"/>
    <w:rsid w:val="00D6064C"/>
    <w:rsid w:val="00DB47A8"/>
    <w:rsid w:val="00DB6554"/>
    <w:rsid w:val="00DF79C0"/>
    <w:rsid w:val="00E05FAE"/>
    <w:rsid w:val="00E12752"/>
    <w:rsid w:val="00E2514A"/>
    <w:rsid w:val="00E63362"/>
    <w:rsid w:val="00E6697C"/>
    <w:rsid w:val="00E86B6B"/>
    <w:rsid w:val="00E91528"/>
    <w:rsid w:val="00E92545"/>
    <w:rsid w:val="00E976C3"/>
    <w:rsid w:val="00ED293B"/>
    <w:rsid w:val="00ED3D8F"/>
    <w:rsid w:val="00ED63AC"/>
    <w:rsid w:val="00EE00B9"/>
    <w:rsid w:val="00EF24DB"/>
    <w:rsid w:val="00EF7CDE"/>
    <w:rsid w:val="00F03F1E"/>
    <w:rsid w:val="00F20391"/>
    <w:rsid w:val="00F4393E"/>
    <w:rsid w:val="00F825C5"/>
    <w:rsid w:val="00F8706C"/>
    <w:rsid w:val="00FB3901"/>
    <w:rsid w:val="00FC7FA1"/>
    <w:rsid w:val="00FD30A7"/>
    <w:rsid w:val="00FF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 w:qFormat="1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13" w:qFormat="1"/>
    <w:lsdException w:name="List Number" w:uiPriority="13" w:qFormat="1"/>
    <w:lsdException w:name="List Bullet 2" w:uiPriority="13" w:qFormat="1"/>
    <w:lsdException w:name="List Bullet 3" w:uiPriority="13" w:qFormat="1"/>
    <w:lsdException w:name="List Bullet 4" w:uiPriority="13"/>
    <w:lsdException w:name="List Bullet 5" w:uiPriority="13"/>
    <w:lsdException w:name="List Number 2" w:uiPriority="13" w:qFormat="1"/>
    <w:lsdException w:name="List Number 3" w:uiPriority="13" w:qFormat="1"/>
    <w:lsdException w:name="List Number 4" w:uiPriority="13"/>
    <w:lsdException w:name="List Number 5" w:uiPriority="13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1A"/>
    <w:pPr>
      <w:spacing w:after="0" w:line="240" w:lineRule="atLeast"/>
    </w:pPr>
    <w:rPr>
      <w:rFonts w:ascii="Georgia" w:hAnsi="Georgia"/>
      <w:sz w:val="20"/>
      <w:lang w:val="fi-FI"/>
    </w:rPr>
  </w:style>
  <w:style w:type="paragraph" w:styleId="Heading1">
    <w:name w:val="heading 1"/>
    <w:basedOn w:val="Normal"/>
    <w:next w:val="BodyText"/>
    <w:link w:val="Heading1Char"/>
    <w:qFormat/>
    <w:rsid w:val="00A96F7A"/>
    <w:pPr>
      <w:numPr>
        <w:numId w:val="3"/>
      </w:numPr>
      <w:spacing w:before="360" w:after="180"/>
      <w:outlineLvl w:val="0"/>
    </w:pPr>
    <w:rPr>
      <w:b/>
      <w:sz w:val="24"/>
    </w:rPr>
  </w:style>
  <w:style w:type="paragraph" w:styleId="Heading2">
    <w:name w:val="heading 2"/>
    <w:basedOn w:val="Heading1"/>
    <w:next w:val="BodyText"/>
    <w:link w:val="Heading2Char"/>
    <w:unhideWhenUsed/>
    <w:qFormat/>
    <w:rsid w:val="00336508"/>
    <w:pPr>
      <w:numPr>
        <w:ilvl w:val="1"/>
      </w:numPr>
      <w:ind w:left="680" w:hanging="680"/>
      <w:outlineLvl w:val="1"/>
    </w:pPr>
    <w:rPr>
      <w:sz w:val="20"/>
    </w:rPr>
  </w:style>
  <w:style w:type="paragraph" w:styleId="Heading3">
    <w:name w:val="heading 3"/>
    <w:basedOn w:val="Heading2"/>
    <w:next w:val="BodyText"/>
    <w:link w:val="Heading3Char"/>
    <w:unhideWhenUsed/>
    <w:qFormat/>
    <w:rsid w:val="00336508"/>
    <w:pPr>
      <w:numPr>
        <w:ilvl w:val="2"/>
      </w:numPr>
      <w:ind w:left="794" w:hanging="794"/>
      <w:outlineLvl w:val="2"/>
    </w:pPr>
  </w:style>
  <w:style w:type="paragraph" w:styleId="Heading4">
    <w:name w:val="heading 4"/>
    <w:basedOn w:val="Heading3"/>
    <w:next w:val="BodyText"/>
    <w:link w:val="Heading4Char"/>
    <w:unhideWhenUsed/>
    <w:qFormat/>
    <w:rsid w:val="00336508"/>
    <w:pPr>
      <w:numPr>
        <w:ilvl w:val="3"/>
      </w:numPr>
      <w:ind w:left="1021" w:hanging="1021"/>
      <w:outlineLvl w:val="3"/>
    </w:pPr>
  </w:style>
  <w:style w:type="paragraph" w:styleId="Heading5">
    <w:name w:val="heading 5"/>
    <w:basedOn w:val="Heading4"/>
    <w:next w:val="BodyText"/>
    <w:link w:val="Heading5Char"/>
    <w:unhideWhenUsed/>
    <w:qFormat/>
    <w:rsid w:val="00336508"/>
    <w:pPr>
      <w:numPr>
        <w:ilvl w:val="4"/>
      </w:numPr>
      <w:ind w:left="1247" w:hanging="1247"/>
      <w:outlineLvl w:val="4"/>
    </w:pPr>
  </w:style>
  <w:style w:type="paragraph" w:styleId="Heading6">
    <w:name w:val="heading 6"/>
    <w:basedOn w:val="Heading5"/>
    <w:next w:val="BodyText"/>
    <w:link w:val="Heading6Char"/>
    <w:rsid w:val="00336508"/>
    <w:pPr>
      <w:numPr>
        <w:ilvl w:val="5"/>
      </w:numPr>
      <w:tabs>
        <w:tab w:val="left" w:pos="1418"/>
      </w:tabs>
      <w:spacing w:line="240" w:lineRule="auto"/>
      <w:ind w:left="1418" w:hanging="1418"/>
      <w:outlineLvl w:val="5"/>
    </w:pPr>
    <w:rPr>
      <w:rFonts w:eastAsia="Times New Roman" w:cs="Times New Roman"/>
      <w:szCs w:val="20"/>
    </w:rPr>
  </w:style>
  <w:style w:type="paragraph" w:styleId="Heading7">
    <w:name w:val="heading 7"/>
    <w:basedOn w:val="Heading6"/>
    <w:next w:val="BodyText"/>
    <w:link w:val="Heading7Char"/>
    <w:rsid w:val="00336508"/>
    <w:pPr>
      <w:numPr>
        <w:ilvl w:val="6"/>
      </w:numPr>
      <w:tabs>
        <w:tab w:val="clear" w:pos="1418"/>
        <w:tab w:val="left" w:pos="1644"/>
      </w:tabs>
      <w:ind w:left="1644" w:hanging="1644"/>
      <w:outlineLvl w:val="6"/>
    </w:pPr>
  </w:style>
  <w:style w:type="paragraph" w:styleId="Heading8">
    <w:name w:val="heading 8"/>
    <w:basedOn w:val="Heading7"/>
    <w:next w:val="BodyText"/>
    <w:link w:val="Heading8Char"/>
    <w:rsid w:val="00336508"/>
    <w:pPr>
      <w:numPr>
        <w:ilvl w:val="7"/>
      </w:numPr>
      <w:tabs>
        <w:tab w:val="clear" w:pos="1644"/>
        <w:tab w:val="left" w:pos="1928"/>
      </w:tabs>
      <w:ind w:left="1928" w:hanging="1928"/>
      <w:outlineLvl w:val="7"/>
    </w:pPr>
  </w:style>
  <w:style w:type="paragraph" w:styleId="Heading9">
    <w:name w:val="heading 9"/>
    <w:basedOn w:val="Heading8"/>
    <w:next w:val="BodyText"/>
    <w:link w:val="Heading9Char"/>
    <w:rsid w:val="00336508"/>
    <w:pPr>
      <w:numPr>
        <w:ilvl w:val="8"/>
      </w:numPr>
      <w:tabs>
        <w:tab w:val="clear" w:pos="1928"/>
        <w:tab w:val="left" w:pos="2098"/>
      </w:tabs>
      <w:ind w:left="2098" w:hanging="209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42"/>
    <w:rPr>
      <w:rFonts w:ascii="Georgia" w:hAnsi="Georgia"/>
      <w:sz w:val="20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4B66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42"/>
    <w:rPr>
      <w:rFonts w:ascii="Georgia" w:hAnsi="Georgia"/>
      <w:sz w:val="20"/>
      <w:lang w:val="fi-FI"/>
    </w:rPr>
  </w:style>
  <w:style w:type="paragraph" w:styleId="BodyText">
    <w:name w:val="Body Text"/>
    <w:basedOn w:val="Normal"/>
    <w:link w:val="BodyTextChar"/>
    <w:uiPriority w:val="99"/>
    <w:unhideWhenUsed/>
    <w:qFormat/>
    <w:rsid w:val="00BC5CBC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rsid w:val="00BC5CBC"/>
    <w:rPr>
      <w:rFonts w:ascii="Georgia" w:hAnsi="Georgia"/>
      <w:sz w:val="20"/>
      <w:lang w:val="fi-FI"/>
    </w:rPr>
  </w:style>
  <w:style w:type="paragraph" w:customStyle="1" w:styleId="Disclaimer">
    <w:name w:val="Disclaimer"/>
    <w:link w:val="DisclaimerChar"/>
    <w:rsid w:val="004B6660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DisclaimerChar">
    <w:name w:val="Disclaimer Char"/>
    <w:basedOn w:val="DefaultParagraphFont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Heading1Char">
    <w:name w:val="Heading 1 Char"/>
    <w:basedOn w:val="DefaultParagraphFont"/>
    <w:link w:val="Heading1"/>
    <w:rsid w:val="00A96F7A"/>
    <w:rPr>
      <w:rFonts w:ascii="Georgia" w:hAnsi="Georgia"/>
      <w:b/>
      <w:sz w:val="24"/>
      <w:lang w:val="fi-FI"/>
    </w:rPr>
  </w:style>
  <w:style w:type="character" w:customStyle="1" w:styleId="Heading2Char">
    <w:name w:val="Heading 2 Char"/>
    <w:basedOn w:val="DefaultParagraphFont"/>
    <w:link w:val="Heading2"/>
    <w:rsid w:val="00336508"/>
    <w:rPr>
      <w:rFonts w:ascii="Georgia" w:hAnsi="Georgia"/>
      <w:b/>
      <w:sz w:val="20"/>
      <w:lang w:val="fi-FI"/>
    </w:rPr>
  </w:style>
  <w:style w:type="paragraph" w:customStyle="1" w:styleId="PwCfooter">
    <w:name w:val="PwC footer"/>
    <w:link w:val="PwCfooterChar"/>
    <w:qFormat/>
    <w:rsid w:val="00BC5CBC"/>
    <w:pPr>
      <w:spacing w:after="0" w:line="200" w:lineRule="atLeast"/>
    </w:pPr>
    <w:rPr>
      <w:rFonts w:ascii="Georgia" w:hAnsi="Georgia"/>
      <w:i/>
      <w:noProof/>
      <w:sz w:val="16"/>
      <w:lang w:val="fi-FI" w:eastAsia="en-GB"/>
    </w:rPr>
  </w:style>
  <w:style w:type="character" w:customStyle="1" w:styleId="PwCfooterChar">
    <w:name w:val="PwC footer Char"/>
    <w:basedOn w:val="DefaultParagraphFont"/>
    <w:link w:val="PwCfooter"/>
    <w:rsid w:val="00BC5CBC"/>
    <w:rPr>
      <w:rFonts w:ascii="Georgia" w:hAnsi="Georgia"/>
      <w:i/>
      <w:noProof/>
      <w:sz w:val="16"/>
      <w:lang w:val="fi-FI" w:eastAsia="en-GB"/>
    </w:rPr>
  </w:style>
  <w:style w:type="character" w:customStyle="1" w:styleId="Heading3Char">
    <w:name w:val="Heading 3 Char"/>
    <w:basedOn w:val="DefaultParagraphFont"/>
    <w:link w:val="Heading3"/>
    <w:rsid w:val="00336508"/>
    <w:rPr>
      <w:rFonts w:ascii="Georgia" w:hAnsi="Georgia"/>
      <w:b/>
      <w:sz w:val="20"/>
      <w:lang w:val="fi-FI"/>
    </w:rPr>
  </w:style>
  <w:style w:type="character" w:customStyle="1" w:styleId="Heading4Char">
    <w:name w:val="Heading 4 Char"/>
    <w:basedOn w:val="DefaultParagraphFont"/>
    <w:link w:val="Heading4"/>
    <w:rsid w:val="00336508"/>
    <w:rPr>
      <w:rFonts w:ascii="Georgia" w:hAnsi="Georgia"/>
      <w:b/>
      <w:sz w:val="20"/>
      <w:lang w:val="fi-FI"/>
    </w:rPr>
  </w:style>
  <w:style w:type="character" w:customStyle="1" w:styleId="Heading5Char">
    <w:name w:val="Heading 5 Char"/>
    <w:basedOn w:val="DefaultParagraphFont"/>
    <w:link w:val="Heading5"/>
    <w:rsid w:val="00336508"/>
    <w:rPr>
      <w:rFonts w:ascii="Georgia" w:hAnsi="Georgia"/>
      <w:b/>
      <w:sz w:val="20"/>
      <w:lang w:val="fi-FI"/>
    </w:rPr>
  </w:style>
  <w:style w:type="character" w:customStyle="1" w:styleId="Heading6Char">
    <w:name w:val="Heading 6 Char"/>
    <w:basedOn w:val="DefaultParagraphFont"/>
    <w:link w:val="Heading6"/>
    <w:rsid w:val="00336508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7Char">
    <w:name w:val="Heading 7 Char"/>
    <w:basedOn w:val="DefaultParagraphFont"/>
    <w:link w:val="Heading7"/>
    <w:rsid w:val="00336508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8Char">
    <w:name w:val="Heading 8 Char"/>
    <w:basedOn w:val="DefaultParagraphFont"/>
    <w:link w:val="Heading8"/>
    <w:rsid w:val="00336508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rsid w:val="00336508"/>
    <w:rPr>
      <w:rFonts w:ascii="Georgia" w:eastAsia="Times New Roman" w:hAnsi="Georgia" w:cs="Times New Roman"/>
      <w:b/>
      <w:sz w:val="20"/>
      <w:szCs w:val="20"/>
      <w:lang w:val="fi-FI"/>
    </w:rPr>
  </w:style>
  <w:style w:type="paragraph" w:styleId="Quote">
    <w:name w:val="Quote"/>
    <w:basedOn w:val="Normal"/>
    <w:next w:val="Normal"/>
    <w:link w:val="QuoteChar"/>
    <w:uiPriority w:val="29"/>
    <w:rsid w:val="004B666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6660"/>
    <w:rPr>
      <w:rFonts w:ascii="Georgia" w:hAnsi="Georgia"/>
      <w:i/>
      <w:iCs/>
      <w:color w:val="000000" w:themeColor="text1"/>
      <w:sz w:val="20"/>
      <w:lang w:val="fi-FI"/>
    </w:rPr>
  </w:style>
  <w:style w:type="character" w:styleId="Hyperlink">
    <w:name w:val="Hyperlink"/>
    <w:basedOn w:val="DefaultParagraphFont"/>
    <w:uiPriority w:val="99"/>
    <w:unhideWhenUsed/>
    <w:rsid w:val="004B6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1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pientaddress">
    <w:name w:val="Recipient address"/>
    <w:basedOn w:val="Normal"/>
    <w:qFormat/>
    <w:rsid w:val="009C7739"/>
    <w:pPr>
      <w:spacing w:line="276" w:lineRule="auto"/>
    </w:pPr>
  </w:style>
  <w:style w:type="numbering" w:customStyle="1" w:styleId="PwCheadings">
    <w:name w:val="PwC headings"/>
    <w:uiPriority w:val="99"/>
    <w:rsid w:val="00296164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124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1245"/>
    <w:pPr>
      <w:spacing w:after="100"/>
      <w:ind w:left="1400"/>
    </w:pPr>
  </w:style>
  <w:style w:type="paragraph" w:styleId="BlockText">
    <w:name w:val="Block Text"/>
    <w:basedOn w:val="Normal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asciiTheme="minorHAnsi" w:eastAsiaTheme="minorEastAsia" w:hAnsiTheme="minorHAnsi"/>
      <w:i/>
      <w:iCs/>
      <w:color w:val="DC6900" w:themeColor="accent1"/>
    </w:rPr>
  </w:style>
  <w:style w:type="character" w:styleId="PageNumber">
    <w:name w:val="page number"/>
    <w:basedOn w:val="DefaultParagraphFont"/>
    <w:semiHidden/>
    <w:rsid w:val="00217427"/>
  </w:style>
  <w:style w:type="paragraph" w:customStyle="1" w:styleId="Maintitle">
    <w:name w:val="Main title"/>
    <w:basedOn w:val="Normal"/>
    <w:next w:val="BodyText"/>
    <w:qFormat/>
    <w:rsid w:val="00BC5CBC"/>
    <w:pPr>
      <w:spacing w:after="240"/>
    </w:pPr>
    <w:rPr>
      <w:b/>
      <w:i/>
      <w:sz w:val="28"/>
      <w:szCs w:val="28"/>
    </w:rPr>
  </w:style>
  <w:style w:type="paragraph" w:customStyle="1" w:styleId="Reference">
    <w:name w:val="Reference"/>
    <w:basedOn w:val="Normal"/>
    <w:qFormat/>
    <w:rsid w:val="009C7739"/>
  </w:style>
  <w:style w:type="numbering" w:customStyle="1" w:styleId="Style1">
    <w:name w:val="Style1"/>
    <w:uiPriority w:val="99"/>
    <w:rsid w:val="00A96F7A"/>
    <w:pPr>
      <w:numPr>
        <w:numId w:val="2"/>
      </w:numPr>
    </w:pPr>
  </w:style>
  <w:style w:type="paragraph" w:customStyle="1" w:styleId="PREPRINTED">
    <w:name w:val="PREPRINTED"/>
    <w:basedOn w:val="Normal"/>
    <w:rsid w:val="00940BA1"/>
    <w:pPr>
      <w:spacing w:after="260" w:line="240" w:lineRule="auto"/>
      <w:jc w:val="right"/>
    </w:pPr>
    <w:rPr>
      <w:rFonts w:ascii="Arial" w:eastAsia="Times New Roman" w:hAnsi="Arial" w:cs="Times New Roman"/>
      <w:sz w:val="22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5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7F"/>
    <w:rPr>
      <w:rFonts w:ascii="Tahoma" w:hAnsi="Tahoma" w:cs="Tahoma"/>
      <w:sz w:val="16"/>
      <w:szCs w:val="16"/>
      <w:lang w:val="fi-FI"/>
    </w:rPr>
  </w:style>
  <w:style w:type="numbering" w:customStyle="1" w:styleId="Bullet-lista">
    <w:name w:val="Bullet-lista"/>
    <w:uiPriority w:val="99"/>
    <w:rsid w:val="0079371A"/>
    <w:pPr>
      <w:numPr>
        <w:numId w:val="4"/>
      </w:numPr>
    </w:pPr>
  </w:style>
  <w:style w:type="paragraph" w:styleId="ListBullet">
    <w:name w:val="List Bullet"/>
    <w:basedOn w:val="Normal"/>
    <w:uiPriority w:val="13"/>
    <w:unhideWhenUsed/>
    <w:qFormat/>
    <w:rsid w:val="0079371A"/>
    <w:pPr>
      <w:numPr>
        <w:numId w:val="6"/>
      </w:numPr>
      <w:spacing w:after="240"/>
    </w:pPr>
    <w:rPr>
      <w:szCs w:val="20"/>
    </w:rPr>
  </w:style>
  <w:style w:type="paragraph" w:styleId="ListBullet2">
    <w:name w:val="List Bullet 2"/>
    <w:basedOn w:val="Normal"/>
    <w:uiPriority w:val="13"/>
    <w:unhideWhenUsed/>
    <w:qFormat/>
    <w:rsid w:val="0079371A"/>
    <w:pPr>
      <w:numPr>
        <w:ilvl w:val="1"/>
        <w:numId w:val="6"/>
      </w:numPr>
      <w:spacing w:after="240"/>
    </w:pPr>
    <w:rPr>
      <w:szCs w:val="20"/>
    </w:rPr>
  </w:style>
  <w:style w:type="paragraph" w:styleId="ListBullet3">
    <w:name w:val="List Bullet 3"/>
    <w:basedOn w:val="Normal"/>
    <w:uiPriority w:val="13"/>
    <w:unhideWhenUsed/>
    <w:qFormat/>
    <w:rsid w:val="0079371A"/>
    <w:pPr>
      <w:numPr>
        <w:numId w:val="5"/>
      </w:numPr>
      <w:spacing w:after="240"/>
    </w:pPr>
    <w:rPr>
      <w:szCs w:val="20"/>
    </w:rPr>
  </w:style>
  <w:style w:type="paragraph" w:styleId="ListBullet4">
    <w:name w:val="List Bullet 4"/>
    <w:basedOn w:val="Normal"/>
    <w:uiPriority w:val="13"/>
    <w:unhideWhenUsed/>
    <w:rsid w:val="0079371A"/>
    <w:pPr>
      <w:numPr>
        <w:ilvl w:val="3"/>
        <w:numId w:val="6"/>
      </w:numPr>
      <w:spacing w:after="240"/>
    </w:pPr>
    <w:rPr>
      <w:szCs w:val="20"/>
    </w:rPr>
  </w:style>
  <w:style w:type="paragraph" w:styleId="ListBullet5">
    <w:name w:val="List Bullet 5"/>
    <w:basedOn w:val="Normal"/>
    <w:uiPriority w:val="13"/>
    <w:unhideWhenUsed/>
    <w:rsid w:val="0079371A"/>
    <w:pPr>
      <w:numPr>
        <w:ilvl w:val="4"/>
        <w:numId w:val="6"/>
      </w:numPr>
      <w:spacing w:after="240"/>
    </w:pPr>
    <w:rPr>
      <w:szCs w:val="20"/>
    </w:rPr>
  </w:style>
  <w:style w:type="paragraph" w:styleId="ListNumber">
    <w:name w:val="List Number"/>
    <w:basedOn w:val="Normal"/>
    <w:uiPriority w:val="13"/>
    <w:unhideWhenUsed/>
    <w:qFormat/>
    <w:rsid w:val="0079371A"/>
    <w:pPr>
      <w:numPr>
        <w:numId w:val="7"/>
      </w:numPr>
      <w:spacing w:after="240"/>
    </w:pPr>
    <w:rPr>
      <w:szCs w:val="20"/>
    </w:rPr>
  </w:style>
  <w:style w:type="paragraph" w:styleId="ListNumber2">
    <w:name w:val="List Number 2"/>
    <w:basedOn w:val="Normal"/>
    <w:uiPriority w:val="13"/>
    <w:unhideWhenUsed/>
    <w:qFormat/>
    <w:rsid w:val="0079371A"/>
    <w:pPr>
      <w:numPr>
        <w:ilvl w:val="1"/>
        <w:numId w:val="7"/>
      </w:numPr>
      <w:spacing w:after="240"/>
    </w:pPr>
    <w:rPr>
      <w:szCs w:val="20"/>
    </w:rPr>
  </w:style>
  <w:style w:type="paragraph" w:styleId="ListNumber3">
    <w:name w:val="List Number 3"/>
    <w:basedOn w:val="Normal"/>
    <w:uiPriority w:val="13"/>
    <w:unhideWhenUsed/>
    <w:qFormat/>
    <w:rsid w:val="0079371A"/>
    <w:pPr>
      <w:numPr>
        <w:ilvl w:val="2"/>
        <w:numId w:val="7"/>
      </w:numPr>
      <w:spacing w:after="240"/>
    </w:pPr>
    <w:rPr>
      <w:szCs w:val="20"/>
    </w:rPr>
  </w:style>
  <w:style w:type="paragraph" w:styleId="ListNumber4">
    <w:name w:val="List Number 4"/>
    <w:basedOn w:val="Normal"/>
    <w:uiPriority w:val="13"/>
    <w:unhideWhenUsed/>
    <w:rsid w:val="0079371A"/>
    <w:pPr>
      <w:numPr>
        <w:ilvl w:val="3"/>
        <w:numId w:val="7"/>
      </w:numPr>
      <w:spacing w:after="240"/>
    </w:pPr>
    <w:rPr>
      <w:szCs w:val="20"/>
    </w:rPr>
  </w:style>
  <w:style w:type="paragraph" w:styleId="ListNumber5">
    <w:name w:val="List Number 5"/>
    <w:basedOn w:val="Normal"/>
    <w:uiPriority w:val="13"/>
    <w:unhideWhenUsed/>
    <w:rsid w:val="0079371A"/>
    <w:pPr>
      <w:numPr>
        <w:ilvl w:val="4"/>
        <w:numId w:val="7"/>
      </w:numPr>
      <w:spacing w:after="240"/>
    </w:pPr>
    <w:rPr>
      <w:szCs w:val="20"/>
    </w:rPr>
  </w:style>
  <w:style w:type="numbering" w:customStyle="1" w:styleId="Numerointilista">
    <w:name w:val="Numerointilista"/>
    <w:uiPriority w:val="99"/>
    <w:rsid w:val="0079371A"/>
    <w:pPr>
      <w:numPr>
        <w:numId w:val="8"/>
      </w:numPr>
    </w:pPr>
  </w:style>
  <w:style w:type="paragraph" w:styleId="ListParagraph">
    <w:name w:val="List Paragraph"/>
    <w:basedOn w:val="Normal"/>
    <w:uiPriority w:val="99"/>
    <w:unhideWhenUsed/>
    <w:qFormat/>
    <w:rsid w:val="00222E88"/>
    <w:pPr>
      <w:spacing w:line="240" w:lineRule="auto"/>
      <w:ind w:left="720"/>
      <w:contextualSpacing/>
    </w:pPr>
    <w:rPr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ALMINEN001\Application%20data\Suorakonttori\Ameba\Version%204\Templates\PwC-blankko-kirjelomake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78B2-A28F-4DCC-A946-32FB8987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PwC-blankko-kirjelomake.dotx</Template>
  <TotalTime>1</TotalTime>
  <Pages>3</Pages>
  <Words>491</Words>
  <Characters>3985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Elina Salminen</dc:creator>
  <cp:lastModifiedBy>Elina Salminen</cp:lastModifiedBy>
  <cp:revision>3</cp:revision>
  <cp:lastPrinted>2011-04-04T09:53:00Z</cp:lastPrinted>
  <dcterms:created xsi:type="dcterms:W3CDTF">2011-04-04T09:52:00Z</dcterms:created>
  <dcterms:modified xsi:type="dcterms:W3CDTF">2011-04-04T09:53:00Z</dcterms:modified>
</cp:coreProperties>
</file>