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8" w:rsidRDefault="003410D0" w:rsidP="003410D0">
      <w:pPr>
        <w:pStyle w:val="MPaaotsikko"/>
      </w:pPr>
      <w:proofErr w:type="gramStart"/>
      <w:r w:rsidRPr="003410D0">
        <w:t>EHDOTUS VALTIONEUVOSTON ASETUKSEKSI MAASEUDUN HANKETOIMINNAN TUKEMISESTA ANNETUN VALTIONEUVOSTON ASETUKSEN MUUTTAMISESTA</w:t>
      </w:r>
      <w:proofErr w:type="gramEnd"/>
    </w:p>
    <w:p w:rsidR="003410D0" w:rsidRDefault="003410D0" w:rsidP="003410D0">
      <w:pPr>
        <w:pStyle w:val="M1Otsikkotaso"/>
      </w:pPr>
      <w:r>
        <w:t>Yleistä</w:t>
      </w:r>
    </w:p>
    <w:p w:rsidR="003410D0" w:rsidRDefault="003410D0" w:rsidP="003410D0">
      <w:pPr>
        <w:pStyle w:val="MKappalejako"/>
      </w:pPr>
      <w:r w:rsidRPr="003410D0">
        <w:t>Maaseudun kehittämisen tukemisesta annettua lakia (28/2014) muutettiin 1 päivänä tammikuuta 2017. Olennaisin muutos koski 24 §:n muutost</w:t>
      </w:r>
      <w:r>
        <w:t>a, jolla selvemmin tod</w:t>
      </w:r>
      <w:r>
        <w:t>e</w:t>
      </w:r>
      <w:r w:rsidRPr="003410D0">
        <w:t>taan niin sanottuihin pilottihankkeisiin liittyvien investointien tukemisen olevan ti</w:t>
      </w:r>
      <w:r w:rsidRPr="003410D0">
        <w:t>e</w:t>
      </w:r>
      <w:r w:rsidRPr="003410D0">
        <w:t>tyissä rajoissa mahdollista. Samalla tehtiin lakiin myös pienempiä muutoksia, joilla pyritään lisäämään tukijärjestelmän toimivuutta ja vähentämään hallinnollista taa</w:t>
      </w:r>
      <w:r w:rsidRPr="003410D0">
        <w:t>k</w:t>
      </w:r>
      <w:r w:rsidRPr="003410D0">
        <w:t>kaa. Lainmuutoksen johdosta vastaavat muutokset on tehtävä myös asetukseen. L</w:t>
      </w:r>
      <w:r w:rsidRPr="003410D0">
        <w:t>i</w:t>
      </w:r>
      <w:r w:rsidRPr="003410D0">
        <w:t>säksi laajakaistahankkeiden rahoitukseen tehdään muutoksia tuenhakijan ja tukitason osalta. Maaseutuohjelman laajakaistarahoitus sai EU komissiolta luvan ke</w:t>
      </w:r>
      <w:r>
        <w:t>ventää r</w:t>
      </w:r>
      <w:r>
        <w:t>a</w:t>
      </w:r>
      <w:r w:rsidRPr="003410D0">
        <w:t>hoituksen ehtoja. Tästä johtuvat muutokset teh</w:t>
      </w:r>
      <w:r>
        <w:t>dään myös maaseudun hanketoimi</w:t>
      </w:r>
      <w:r>
        <w:t>n</w:t>
      </w:r>
      <w:r w:rsidRPr="003410D0">
        <w:t>nan tukemisesta annettuun valtioneuvoston asetukseen (1174/2014). Lisäksi tehdään vähäisiä korjauksia ja muutoksia.</w:t>
      </w:r>
    </w:p>
    <w:p w:rsidR="003410D0" w:rsidRDefault="003410D0" w:rsidP="003410D0">
      <w:pPr>
        <w:pStyle w:val="M1Otsikkotaso"/>
      </w:pPr>
      <w:r w:rsidRPr="00491F84">
        <w:t>Yksityiskohtaiset perustelut</w:t>
      </w:r>
    </w:p>
    <w:p w:rsidR="003410D0" w:rsidRDefault="003410D0" w:rsidP="003410D0">
      <w:pPr>
        <w:pStyle w:val="MKappalejako"/>
      </w:pPr>
      <w:r w:rsidRPr="003410D0">
        <w:rPr>
          <w:b/>
        </w:rPr>
        <w:t>6 §</w:t>
      </w:r>
      <w:r>
        <w:t xml:space="preserve">. </w:t>
      </w:r>
      <w:proofErr w:type="gramStart"/>
      <w:r w:rsidRPr="003410D0">
        <w:rPr>
          <w:i/>
        </w:rPr>
        <w:t>Kehittämishanketuen saaja ja tuettava toiminta</w:t>
      </w:r>
      <w:r>
        <w:t>.</w:t>
      </w:r>
      <w:proofErr w:type="gramEnd"/>
      <w:r>
        <w:t xml:space="preserve"> Pykälään lisättäisiin uusi toinen momentti, jossa kevennettäisiin vaatimusta tuen saajan yleishyödyllisyydestä laaja-kaistainvestointien osalta (maaseutuohjelman alatoimenpide 7.3). Tähän mennessä maaseutuohjelmasta rahoitettujen laajakaistahankkeiden toteuttajan tai tuenhakijan on pitänyt olla yleishyödyllinen toimija. </w:t>
      </w:r>
    </w:p>
    <w:p w:rsidR="003410D0" w:rsidRDefault="003410D0" w:rsidP="003410D0">
      <w:pPr>
        <w:pStyle w:val="MKappalejako"/>
      </w:pPr>
      <w:r>
        <w:t>Taustana muutokselle on se, että komissio ei pitänyt maaseutuohjelman valmistelun aikana ohjelmaperusteista laajakaistarahoitusta Suomessa tarpeellisena. Suomi (maa- ja metsätalousministeriö) on joutunut perustelemaan komissiolle moneen otteeseen maaseudun laajakaistarahoituksen tarvetta. Suomi on suuri maa, jossa välimatkat ovat pitkät, eivätkä kaupalliset operaattorit ole kiinnostuneita rakentamaan laajaka</w:t>
      </w:r>
      <w:r>
        <w:t>i</w:t>
      </w:r>
      <w:r>
        <w:t>tayhteyksiä harvaan asutuilla maaseutualueilla markkinaehtoisesti. Jotta biotalouden tavoitteet ja asukkaiden yhdenvertaisuuden tavoitteet voitaisiin saavuttaa, tarvitaan edelleen julkista tukea tietoliikenneyhteyksien saatavuuden parantamiseen. Asetu</w:t>
      </w:r>
      <w:r>
        <w:t>k</w:t>
      </w:r>
      <w:r>
        <w:t>sen muutoksen myötä tuensaajan ei tarvitsisi olla yleishyödyllinen ja voittoa tavoitt</w:t>
      </w:r>
      <w:r>
        <w:t>e</w:t>
      </w:r>
      <w:r>
        <w:t>lematon, mutta tuettavan toiminnan tulee edelleen olla yleishyödyllistä, eikä tuett</w:t>
      </w:r>
      <w:r>
        <w:t>a</w:t>
      </w:r>
      <w:r>
        <w:t xml:space="preserve">van toiminnan ensisijainen päämäärä saa olla voiton tavoittelu. Vastaava muutos on tehty maaseutuohjelmaan. </w:t>
      </w:r>
    </w:p>
    <w:p w:rsidR="003410D0" w:rsidRDefault="003410D0" w:rsidP="003410D0">
      <w:pPr>
        <w:pStyle w:val="MKappalejako"/>
      </w:pPr>
      <w:r>
        <w:t>Harvaan asutuilla maaseutualueilla ei ole monia mahdollisia verkon rakentajia. Jos operaattorin yhtiöjärjestyksestä puuttuu maininta yleishyödyllisyydestä, se ei aie</w:t>
      </w:r>
      <w:r>
        <w:t>m</w:t>
      </w:r>
      <w:r>
        <w:t>min ole voinut olla maaseutuohjelman laajakaistahankkeiden tuensaajana, kun va</w:t>
      </w:r>
      <w:r>
        <w:t>a</w:t>
      </w:r>
      <w:r>
        <w:t xml:space="preserve">timuksena on toimijan yleishyödyllisyys. Tämä vaatimus on vaikeuttanut hankkeiden toimeenpanoa. </w:t>
      </w:r>
    </w:p>
    <w:p w:rsidR="003410D0" w:rsidRDefault="003410D0" w:rsidP="003410D0">
      <w:pPr>
        <w:pStyle w:val="MKappalejako"/>
      </w:pPr>
      <w:r>
        <w:t>Toiminnalla ei siis edelleenkään tavoitella voittoa. Hankkeita rahoitetaan niillä al</w:t>
      </w:r>
      <w:r>
        <w:t>u</w:t>
      </w:r>
      <w:r>
        <w:t>eilla, missä verkkoja ei markkinaehtoisesti rakenneta. Ohjelmaneuvotteluissa on tu</w:t>
      </w:r>
      <w:r>
        <w:t>l</w:t>
      </w:r>
      <w:r>
        <w:lastRenderedPageBreak/>
        <w:t>lut ilmi, että komissio on lieventänyt kantaansa ja pitää maaseutuohjelmaan tehtyä muutosta asianmukaisena ja tarpeellisena.</w:t>
      </w:r>
    </w:p>
    <w:p w:rsidR="003410D0" w:rsidRDefault="003410D0" w:rsidP="003410D0">
      <w:pPr>
        <w:pStyle w:val="MKappalejako"/>
      </w:pPr>
      <w:r>
        <w:t>Pykälän 3 momentiksi siirtyvää entistä 2 momenttia tarkennettaisiin tuensaajien osa</w:t>
      </w:r>
      <w:r>
        <w:t>l</w:t>
      </w:r>
      <w:r>
        <w:t>ta siten, että yhteistyöhankkeeseen tukea voitaisiin myöntää julkisoikeudelliselle tai yksityisoikeudelliselle yhteisölle.</w:t>
      </w:r>
    </w:p>
    <w:p w:rsidR="003410D0" w:rsidRDefault="003410D0" w:rsidP="003410D0">
      <w:pPr>
        <w:pStyle w:val="MKappalejako"/>
      </w:pPr>
      <w:r>
        <w:t>Pykälän ensimmäinen ja viimeinen momentti säilyisivät sisällöllisesti muuttumatt</w:t>
      </w:r>
      <w:r>
        <w:t>o</w:t>
      </w:r>
      <w:r>
        <w:t>mina.</w:t>
      </w:r>
    </w:p>
    <w:p w:rsidR="00BD292B" w:rsidRDefault="003410D0" w:rsidP="003410D0">
      <w:pPr>
        <w:pStyle w:val="MKappalejako"/>
      </w:pPr>
      <w:r w:rsidRPr="003410D0">
        <w:rPr>
          <w:b/>
        </w:rPr>
        <w:t>7 §</w:t>
      </w:r>
      <w:r>
        <w:t xml:space="preserve">. </w:t>
      </w:r>
      <w:r w:rsidRPr="003410D0">
        <w:rPr>
          <w:i/>
        </w:rPr>
        <w:t>Kehittämishanketuen hyväksyttävät kustannukset</w:t>
      </w:r>
      <w:r>
        <w:t xml:space="preserve">. </w:t>
      </w:r>
      <w:r w:rsidR="00BD292B">
        <w:t>Pykälän 2 momenttiin lisättä</w:t>
      </w:r>
      <w:r w:rsidR="00BD292B">
        <w:t>i</w:t>
      </w:r>
      <w:r w:rsidR="00BD292B">
        <w:t>siin koulutushankkeet. Kyseinen muutos on</w:t>
      </w:r>
      <w:r w:rsidR="00BD292B" w:rsidRPr="00BD292B">
        <w:t xml:space="preserve"> ohjelmanmuutoksessa tehty lisäys ka</w:t>
      </w:r>
      <w:r w:rsidR="00BD292B" w:rsidRPr="00BD292B">
        <w:t>n</w:t>
      </w:r>
      <w:r w:rsidR="00BD292B" w:rsidRPr="00BD292B">
        <w:t>sainvälisten hankkeiden toteutukseen</w:t>
      </w:r>
      <w:r w:rsidR="00BD292B">
        <w:t>.</w:t>
      </w:r>
    </w:p>
    <w:p w:rsidR="003410D0" w:rsidRDefault="003410D0" w:rsidP="003410D0">
      <w:pPr>
        <w:pStyle w:val="MKappalejako"/>
      </w:pPr>
      <w:r>
        <w:t>Pykälän 3 momenttiin lisättäisiin uudeksi 3 kohdaksi lakimuutoksella mahdollistetut pilottihankkeiden investointi-kustannukset yleisen ryhmäpoikkeusasetuksen ja ma</w:t>
      </w:r>
      <w:r>
        <w:t>a</w:t>
      </w:r>
      <w:r>
        <w:t>talouden ja maaseudun ryhmä-poikkeusasetuksen mukaisesti (komission asetuksen 651/2014 25 artikla ja asetuksen 702/2014 31 artikla). Ryhmäpoikkeusasetusten m</w:t>
      </w:r>
      <w:r>
        <w:t>u</w:t>
      </w:r>
      <w:r>
        <w:t>kaisesti tukikelpoisia ovat hankinnat, jotka liittyvät pilottihankkeissa tarvittavien v</w:t>
      </w:r>
      <w:r>
        <w:t>ä</w:t>
      </w:r>
      <w:r>
        <w:t>lineiden ja laitteiden kustannuksiin siltä osin kuin ja siltä ajalta kun niitä on käytetty hankkeessa. Jos tällaisia välineitä ja laitteita ei käytetä hankkeen tarpeisiin koko ni</w:t>
      </w:r>
      <w:r>
        <w:t>i</w:t>
      </w:r>
      <w:r>
        <w:t>den käyttöikää, tukikelpoisiksi katsotaan ainoastaan poistokustannukset, jotka va</w:t>
      </w:r>
      <w:r>
        <w:t>s</w:t>
      </w:r>
      <w:r>
        <w:t>taavat hankkeen kestoa laskettuna yleisesti hyväksyttyjen kirjanpitoperiaatteiden mukaan.</w:t>
      </w:r>
    </w:p>
    <w:p w:rsidR="003410D0" w:rsidRDefault="003410D0" w:rsidP="003410D0">
      <w:pPr>
        <w:pStyle w:val="MKappalejako"/>
      </w:pPr>
      <w:r>
        <w:t>Maaseutuohjelman pilottihankkeisiin sovelletaan yleisen ryhmäpoikkeusasetuksen määrittelyä kokeellisesta kehittämisestä. ’Kokeellisella kehittämisellä’ tarkoitetaan olemassa olevan tieteellisen, teknisen, liiketoiminta- ja muun relevantin tiedon ja ta</w:t>
      </w:r>
      <w:r>
        <w:t>i</w:t>
      </w:r>
      <w:r>
        <w:t>tojen hankkimista, yhdistämistä, muokkaamista ja käyttöä, jonka tavoitteena on k</w:t>
      </w:r>
      <w:r>
        <w:t>e</w:t>
      </w:r>
      <w:r>
        <w:t>hittää uusia tai parannettuja tuotteita, prosesseja tai palveluja. Tämä voi kattaa myös esimerkiksi toiminnan, jonka tarkoituksena on uusien tuotteiden, prosessien tai pa</w:t>
      </w:r>
      <w:r>
        <w:t>l</w:t>
      </w:r>
      <w:r>
        <w:t>veluiden peruskäsitteiden määrittely, suunnittelu ja dokumentointi. Kokeellinen k</w:t>
      </w:r>
      <w:r>
        <w:t>e</w:t>
      </w:r>
      <w:r>
        <w:t xml:space="preserve">hittäminen voi käsittää uusien tai parannettujen tuotteiden, prosessien tai palvelujen prototyypit, esittely- ja pilottihankkeet, testauksen ja </w:t>
      </w:r>
      <w:proofErr w:type="spellStart"/>
      <w:r>
        <w:t>validoinnin</w:t>
      </w:r>
      <w:proofErr w:type="spellEnd"/>
      <w:r>
        <w:t xml:space="preserve"> ympäristössä, joka edustaa käytännön toimintaolosuhteita, kun ensisijaisena tavoitteena on tehdä uusia teknisiä parannuksia tuotteisiin, prosesseihin tai palveluihin, jotka eivät ole vielä su</w:t>
      </w:r>
      <w:r>
        <w:t>u</w:t>
      </w:r>
      <w:r>
        <w:t xml:space="preserve">relta osin vakiintuneet. Tämä voi kattaa kaupallisesti hyödynnettävissä olevien proto-tyyppien ja pilottihankkeiden kehittämisen, kun prototyyppi on pakostakin lopullinen kaupallinen tuote ja kun sen tuottaminen pelkästään esittelyä ja </w:t>
      </w:r>
      <w:proofErr w:type="spellStart"/>
      <w:r>
        <w:t>validointia</w:t>
      </w:r>
      <w:proofErr w:type="spellEnd"/>
      <w:r>
        <w:t xml:space="preserve"> varten ol</w:t>
      </w:r>
      <w:r>
        <w:t>i</w:t>
      </w:r>
      <w:r>
        <w:t>si liian kallista.</w:t>
      </w:r>
    </w:p>
    <w:p w:rsidR="003410D0" w:rsidRDefault="003410D0" w:rsidP="003410D0">
      <w:pPr>
        <w:pStyle w:val="MKappalejako"/>
      </w:pPr>
      <w:r>
        <w:t>Kokeellinen kehittäminen ei kata olemassa oleviin tuotteisiin, tuotantolinjoihin, va</w:t>
      </w:r>
      <w:r>
        <w:t>l</w:t>
      </w:r>
      <w:r>
        <w:t>mistusmenetelmiin, palveluihin tai muihin meneillään oleviin toimintoihin rutiini</w:t>
      </w:r>
      <w:r>
        <w:t>n</w:t>
      </w:r>
      <w:r>
        <w:t>omaisesti tai säännöllisin väliajoin tehtäviä muutoksia, vaikka kyseiset muutokset merkitsisivät parannuksia.</w:t>
      </w:r>
    </w:p>
    <w:p w:rsidR="003410D0" w:rsidRDefault="003410D0" w:rsidP="003410D0">
      <w:pPr>
        <w:pStyle w:val="MKappalejako"/>
      </w:pPr>
      <w:r>
        <w:t>Pykälän 5 momenttia muutettaisiin siten, että vastikkeettomat luovutukset muutetta</w:t>
      </w:r>
      <w:r>
        <w:t>i</w:t>
      </w:r>
      <w:r>
        <w:t>siin vastikkeetta hankkeen hyväksi tehtäväksi työksi. Käytäntö ei asian kannalta muuttuisi, vaan pykälää muutetaan tulkinnan helpottamiseksi ja tekstiä yhdenmukai</w:t>
      </w:r>
      <w:r>
        <w:t>s</w:t>
      </w:r>
      <w:r>
        <w:t>tetaan ohjelman mukaiseksi. Muutos on lähinnä tarkennukseksi tarkoitettu.</w:t>
      </w:r>
    </w:p>
    <w:p w:rsidR="003410D0" w:rsidRDefault="003410D0" w:rsidP="003410D0">
      <w:pPr>
        <w:pStyle w:val="MKappalejako"/>
      </w:pPr>
      <w:r>
        <w:lastRenderedPageBreak/>
        <w:t>Pykälän muut momentit säilyvät sisällöllisesti muuttumattomina.</w:t>
      </w:r>
    </w:p>
    <w:p w:rsidR="003410D0" w:rsidRDefault="003410D0" w:rsidP="003410D0">
      <w:pPr>
        <w:pStyle w:val="MKappalejako"/>
      </w:pPr>
      <w:r w:rsidRPr="003410D0">
        <w:rPr>
          <w:b/>
        </w:rPr>
        <w:t>10 §</w:t>
      </w:r>
      <w:r>
        <w:t xml:space="preserve">. </w:t>
      </w:r>
      <w:r w:rsidRPr="003410D0">
        <w:rPr>
          <w:i/>
        </w:rPr>
        <w:t>Kehittämishanketuen määrä</w:t>
      </w:r>
      <w:r>
        <w:t>. Ensimmäisessä momentissa tuen määrä muute</w:t>
      </w:r>
      <w:r>
        <w:t>t</w:t>
      </w:r>
      <w:r>
        <w:t xml:space="preserve">taisiin julkisen tuen määräksi. Lain 28/2014 5 §:n määritelmän mukaisesti </w:t>
      </w:r>
      <w:r w:rsidRPr="003410D0">
        <w:rPr>
          <w:i/>
        </w:rPr>
        <w:t>tuella</w:t>
      </w:r>
      <w:r>
        <w:t xml:space="preserve"> ta</w:t>
      </w:r>
      <w:r>
        <w:t>r</w:t>
      </w:r>
      <w:r>
        <w:t xml:space="preserve">koitetaan avustusta, joka on myönnetty tai myönnetään valtion tai Euroopan unionin taikka niiden molempien varoista. </w:t>
      </w:r>
      <w:r w:rsidRPr="003410D0">
        <w:rPr>
          <w:i/>
        </w:rPr>
        <w:t>Julkiseen tukeen</w:t>
      </w:r>
      <w:r>
        <w:t xml:space="preserve"> sisältyisi myös muu kansallinen julkinen rahoitus, kuten kuntien ja seurakuntien rahoitus. Huono taloudellinen tilanne on tehnyt hankkeiden toteuttamisen aikaisempaa haastavammaksi. Kun muu julkinen rahoitus lasketaan mukaan (julkiseen) tukeen, ei hankkeiden yksityisrahoituksen osuus nouse kohtuuttoman suureksi ja pienemmätkin, mutta tulokselliset hankkeet voidaan toteuttaa tarkoituksenmukaisesti ja taloudellisesti. Muutos laskee hieman e</w:t>
      </w:r>
      <w:r>
        <w:t>u</w:t>
      </w:r>
      <w:r>
        <w:t xml:space="preserve">romääräistä rajaa, jolloin tukea voidaan myöntää. Näin muutos helpottaa pienempien hanketoteuttajien asemaa. </w:t>
      </w:r>
    </w:p>
    <w:p w:rsidR="003410D0" w:rsidRDefault="003410D0" w:rsidP="003410D0">
      <w:pPr>
        <w:pStyle w:val="MKappalejako"/>
      </w:pPr>
      <w:r>
        <w:t>Pykälään lisättäisiin myös uusi 3 momentti. Tukea hankkeen kokoamisesta, yhteis-työstä ja kokemusten vaihdosta aiheutuviin hyväksyttäviin kustannuksiin voitaisiin myöntää muu julkinen rahoitus mukaan lukien 100 prosenttia hyväksyttävistä ku</w:t>
      </w:r>
      <w:r>
        <w:t>s</w:t>
      </w:r>
      <w:r>
        <w:t>tannuksista. Maaseudun kehittämisen tukemisesta annetun lain (28/2014) 26 §:ssä säädetään tästä teemahankkeen koordinointiosan tukitasosta. 1.1.2017 voimaan tu</w:t>
      </w:r>
      <w:r>
        <w:t>l</w:t>
      </w:r>
      <w:r>
        <w:t>leella muutoksella poistettiin vaatimus erityiseen syyhyn edellytyksenä tuen saam</w:t>
      </w:r>
      <w:r>
        <w:t>i</w:t>
      </w:r>
      <w:r>
        <w:t>selle. Maaseutuohjelman toimeenpanosta saatujen kokemusten mukaan muutos oli tarpeellinen, sillä teemahankkeen luonteesta johtuen nämä niin sanotut koordinointi-kustannukset ovat ilman erityistä syytä teemahankkeen onnistumisen kannalta lähes kaikissa teemahankkeissa hyvin perusteltuja ja hyväksyttäviä. Useissa teemahan</w:t>
      </w:r>
      <w:r>
        <w:t>k</w:t>
      </w:r>
      <w:r>
        <w:t>keissa on jopa 20 toimenpidettä, joiden toteuttajat ovat usein pieniä ja uusia toimijo</w:t>
      </w:r>
      <w:r>
        <w:t>i</w:t>
      </w:r>
      <w:r>
        <w:t xml:space="preserve">ta, ja niiden kokoaminen ja neuvonta edellyttävät koordinaatiotyötä. Toimenpiteet ovat usein euromääräisesti pieniä, mutta niillä saadaan isoja vipuvaikutuksia ja uusia toimijoita mukaan maaseudun kehittämistyöhön. </w:t>
      </w:r>
    </w:p>
    <w:p w:rsidR="003410D0" w:rsidRDefault="003410D0" w:rsidP="003410D0">
      <w:pPr>
        <w:pStyle w:val="MKappalejako"/>
      </w:pPr>
      <w:r w:rsidRPr="003410D0">
        <w:rPr>
          <w:b/>
        </w:rPr>
        <w:t>10 c §</w:t>
      </w:r>
      <w:r>
        <w:t xml:space="preserve">. </w:t>
      </w:r>
      <w:r w:rsidRPr="003410D0">
        <w:rPr>
          <w:i/>
        </w:rPr>
        <w:t>Yleishyödylliseen investointiin myönnettävän tuen määrä</w:t>
      </w:r>
      <w:r>
        <w:t>. Pykälän 3 momen</w:t>
      </w:r>
      <w:r>
        <w:t>t</w:t>
      </w:r>
      <w:r>
        <w:t>tiin lisättäisiin uusi tukitaso laajakaistainvestoinneille. Tukea laajakaistahankkeisiin ohjelman alatoimenpiteen 7.3 mukaisesti voitaisiin jatkossa myöntää joko 50 % tai 70 % hyväksyttävistä kustannuksista.  Ohjelmaneuvotteluissa komissio vaati kaikille ohjelman toimenpiteille kiinteät tukitasot. Kiinteiden tukitasojen hankaluuden takia ja tuensaajien joukon laajentamisen takia otetaan käyttöön toinen, alempi 50 %:n t</w:t>
      </w:r>
      <w:r>
        <w:t>u</w:t>
      </w:r>
      <w:r>
        <w:t>kitaso. Jatkossa olisi käytössä siis kaksi eri tukitasoa ja tukitaso riippuisi hakijan taustasta. Jos hankkeen tuen hakijana ja toteuttajana on sellainen operaattori tai y</w:t>
      </w:r>
      <w:r>
        <w:t>h</w:t>
      </w:r>
      <w:r>
        <w:t>teisö, jonka vuosiliikevaihto on aiempien 3 vuoden aikana ylittänyt 10 miljoonaa e</w:t>
      </w:r>
      <w:r>
        <w:t>u</w:t>
      </w:r>
      <w:r>
        <w:t>roa, tukea voitaisiin myöntää 50 %.</w:t>
      </w:r>
    </w:p>
    <w:p w:rsidR="003410D0" w:rsidRDefault="003410D0" w:rsidP="003410D0">
      <w:pPr>
        <w:pStyle w:val="MKappalejako"/>
      </w:pPr>
      <w:r>
        <w:t>Jos toteuttajan vuotuinen liikevaihto jää alle 10 miljoonan euron, tukea voidaan myöntää 70 %, kuten ennen muutosta. Valtaosa maaseutuohjelman laajakaistahan</w:t>
      </w:r>
      <w:r>
        <w:t>k</w:t>
      </w:r>
      <w:r>
        <w:t xml:space="preserve">keiden toteuttajista on paikallisia osuuskuntia tai seutukunnallisia operaattoreita ja kuuluvat tähän ryhmään. </w:t>
      </w:r>
    </w:p>
    <w:p w:rsidR="003410D0" w:rsidRDefault="003410D0" w:rsidP="003410D0">
      <w:pPr>
        <w:pStyle w:val="MKappalejako"/>
      </w:pPr>
      <w:r>
        <w:t>Muutos lisäisi mahdollisten laajakaistahankkeiden toteuttajien määrää ja voi olla ra</w:t>
      </w:r>
      <w:r>
        <w:t>t</w:t>
      </w:r>
      <w:r>
        <w:t xml:space="preserve">kaiseva hankkeiden toteutumisen kannalta sellaisilla alueilla, joilla esimerkiksi on vain yksi tai muutama mahdollinen laajakaistan rakentaja ja laajakaistayhteyksien tarjoaja. Siten muutos vähentäisi byrokratiaa ja lisäisi kehittämismahdollisuuksia ja alueiden tasavertaisuutta.   </w:t>
      </w:r>
    </w:p>
    <w:p w:rsidR="003410D0" w:rsidRDefault="003410D0" w:rsidP="003410D0">
      <w:pPr>
        <w:pStyle w:val="MKappalejako"/>
      </w:pPr>
      <w:r w:rsidRPr="003410D0">
        <w:rPr>
          <w:b/>
        </w:rPr>
        <w:lastRenderedPageBreak/>
        <w:t>10 d §</w:t>
      </w:r>
      <w:r>
        <w:t xml:space="preserve">. </w:t>
      </w:r>
      <w:r w:rsidRPr="003410D0">
        <w:rPr>
          <w:i/>
        </w:rPr>
        <w:t>Paikallisiin hankkeisiin myönnettävän tuen määrä</w:t>
      </w:r>
      <w:r>
        <w:t>. Pykälän otsikkoa ja sisä</w:t>
      </w:r>
      <w:r>
        <w:t>l</w:t>
      </w:r>
      <w:r>
        <w:t xml:space="preserve">töä muutettaisiin siten, että pykälässä ei enää säädettäisi valtakunnallisiin hankkeisiin myönnettävän tuen määrästä. Maaseutuohjelman valtakunnallisten ja </w:t>
      </w:r>
      <w:proofErr w:type="spellStart"/>
      <w:r>
        <w:t>ELY-keskusten</w:t>
      </w:r>
      <w:proofErr w:type="spellEnd"/>
      <w:r>
        <w:t xml:space="preserve"> rahoittamien alueiden välisten hankkeiden rahoitus on tarkoituksenmukaisempaa t</w:t>
      </w:r>
      <w:r>
        <w:t>o</w:t>
      </w:r>
      <w:r>
        <w:t>teuttaa ohjelman toimenpiteiden mukaisesti, eikä aina automaattisesti 100 %:n tuella. Komissio on vaatinut maaseutuohjelman hankkeille kiinteät tukitasot. Moni valta-kunnallinen hanke on jäänyt rahoittamatta sen vuoksi, että siihen sisältyisi toimintaa, jota ei 100 %:n hankkeissa voitaisi tukea. Jos tukea myönnetään 100 % hyväksytt</w:t>
      </w:r>
      <w:r>
        <w:t>ä</w:t>
      </w:r>
      <w:r>
        <w:t xml:space="preserve">vistä kustannuksista, täytyy hyödyn kohdistua laajalle, jolloin </w:t>
      </w:r>
      <w:proofErr w:type="spellStart"/>
      <w:r>
        <w:t>konkretia</w:t>
      </w:r>
      <w:proofErr w:type="spellEnd"/>
      <w:r>
        <w:t xml:space="preserve"> ja yritysten hyötyminen saattaa jäädä usein vähemmälle. Pykälän ensimmäisessä momentissa o</w:t>
      </w:r>
      <w:r>
        <w:t>l</w:t>
      </w:r>
      <w:r>
        <w:t xml:space="preserve">lut kielto myöntää tukea sellaiseen valtakunnalliseen hankkeeseen, jossa tuki olisi valtiontueksi katsottavaa tukea, poistetaan. Ohjelman </w:t>
      </w:r>
      <w:proofErr w:type="spellStart"/>
      <w:r>
        <w:t>toimenpiteittäiset</w:t>
      </w:r>
      <w:proofErr w:type="spellEnd"/>
      <w:r>
        <w:t xml:space="preserve"> tukitasot (60, 70, 80, 90 ja 100 %) on määritelty komission hyväksymässä maaseutuohjelmassa ja muualla tässä valtioneuvoston asetuksessa. </w:t>
      </w:r>
    </w:p>
    <w:p w:rsidR="003410D0" w:rsidRDefault="003410D0" w:rsidP="003410D0">
      <w:pPr>
        <w:pStyle w:val="MKappalejako"/>
      </w:pPr>
      <w:r>
        <w:t xml:space="preserve">Muutoksen johdosta pykälästä poistuu 1 momentti ja muut momentit säilyvät </w:t>
      </w:r>
      <w:proofErr w:type="spellStart"/>
      <w:r>
        <w:t>sisäl-löllisesti</w:t>
      </w:r>
      <w:proofErr w:type="spellEnd"/>
      <w:r>
        <w:t xml:space="preserve"> muuttumattomina. Pykälän ruotsinkielinen käännös tarkistetaan </w:t>
      </w:r>
      <w:proofErr w:type="spellStart"/>
      <w:r>
        <w:t>kokonai-suudessaan</w:t>
      </w:r>
      <w:proofErr w:type="spellEnd"/>
      <w:r>
        <w:t>, erityisesti muutoksen jälkeinen 2 momentti.</w:t>
      </w:r>
    </w:p>
    <w:p w:rsidR="003410D0" w:rsidRDefault="003410D0" w:rsidP="003410D0">
      <w:pPr>
        <w:pStyle w:val="MKappalejako"/>
      </w:pPr>
      <w:r>
        <w:t xml:space="preserve">4 luku. </w:t>
      </w:r>
      <w:r w:rsidRPr="003410D0">
        <w:rPr>
          <w:b/>
        </w:rPr>
        <w:t>Yleishyödylliset ja muut investoinnit</w:t>
      </w:r>
      <w:r>
        <w:t xml:space="preserve"> </w:t>
      </w:r>
    </w:p>
    <w:p w:rsidR="003410D0" w:rsidRDefault="003410D0" w:rsidP="003410D0">
      <w:pPr>
        <w:pStyle w:val="MKappalejako"/>
      </w:pPr>
      <w:r>
        <w:t xml:space="preserve">Luvun otsikkoa muutettaisiin siten, että myös </w:t>
      </w:r>
      <w:proofErr w:type="spellStart"/>
      <w:r>
        <w:t>pilotointeihin</w:t>
      </w:r>
      <w:proofErr w:type="spellEnd"/>
      <w:r>
        <w:t xml:space="preserve"> liittyvät investoinnit s</w:t>
      </w:r>
      <w:r>
        <w:t>o</w:t>
      </w:r>
      <w:r>
        <w:t xml:space="preserve">veltuisivat lukuun. </w:t>
      </w:r>
      <w:proofErr w:type="spellStart"/>
      <w:r>
        <w:t>Pilotointihankkeisiin</w:t>
      </w:r>
      <w:proofErr w:type="spellEnd"/>
      <w:r>
        <w:t xml:space="preserve"> liittyvät hankinnat ja investoinnit eivät ole yleishyödyllisiä investointeja. Yhteistyötoimenpiteeseen sisältyviin </w:t>
      </w:r>
      <w:proofErr w:type="spellStart"/>
      <w:r>
        <w:t>pilotointeihin</w:t>
      </w:r>
      <w:proofErr w:type="spellEnd"/>
      <w:r>
        <w:t xml:space="preserve"> liittyviin investointeihin tukea voidaan myöntää komission asetuksen 651/2014 25 artiklan ja 702/2104 31 artiklan mukaisesti.</w:t>
      </w:r>
    </w:p>
    <w:p w:rsidR="003410D0" w:rsidRDefault="003410D0" w:rsidP="003410D0">
      <w:pPr>
        <w:pStyle w:val="MKappalejako"/>
      </w:pPr>
      <w:r w:rsidRPr="003410D0">
        <w:rPr>
          <w:b/>
        </w:rPr>
        <w:t>17 §</w:t>
      </w:r>
      <w:r>
        <w:t xml:space="preserve">. </w:t>
      </w:r>
      <w:proofErr w:type="gramStart"/>
      <w:r w:rsidRPr="003410D0">
        <w:rPr>
          <w:i/>
        </w:rPr>
        <w:t>Investoinnin tukemisen edellytykset</w:t>
      </w:r>
      <w:r>
        <w:t>.</w:t>
      </w:r>
      <w:proofErr w:type="gramEnd"/>
      <w:r>
        <w:t xml:space="preserve"> Pykälän toiseen momenttiin lisättäisiin viittaus yleisasetuksen 71 artiklasta myös 2 ja 3 kohtiin, eli EU-säädöksistä johtuviin ehtoihin investointien pysyvyyteen liittyen. Investointien pysyvyydestä säädetään Euroopan neuvoston ja parlamentin yleisasetuksen (1303/2013) 71 artiklassa. Arti</w:t>
      </w:r>
      <w:r>
        <w:t>k</w:t>
      </w:r>
      <w:r>
        <w:t xml:space="preserve">lassa säädetään, että sellaisten </w:t>
      </w:r>
      <w:proofErr w:type="spellStart"/>
      <w:r>
        <w:t>ERI-rahastoista</w:t>
      </w:r>
      <w:proofErr w:type="spellEnd"/>
      <w:r>
        <w:t xml:space="preserve"> (Euroopan Rakenne- ja Investointir</w:t>
      </w:r>
      <w:r>
        <w:t>a</w:t>
      </w:r>
      <w:r>
        <w:t>hastot) tukea saavien toimien, jotka eivät ole infrastruktuuri- eivätkä tuotannollisia investointeja, on maksettava rahaston rahoitusosuus takaisin ainoastaan silloin, kun niillä on sovellettavien valtiontukisääntöjen mukaisesti velvoite ylläpitää investoint</w:t>
      </w:r>
      <w:r>
        <w:t>e</w:t>
      </w:r>
      <w:r>
        <w:t>ja ja kun niitä koskee kyseisissä säännöissä säädetyn määräajan kuluessa tuotannoll</w:t>
      </w:r>
      <w:r>
        <w:t>i</w:t>
      </w:r>
      <w:r>
        <w:t xml:space="preserve">sen toiminnan lopettaminen tai tuotannon siirto. </w:t>
      </w:r>
    </w:p>
    <w:p w:rsidR="003410D0" w:rsidRDefault="003410D0" w:rsidP="003410D0">
      <w:pPr>
        <w:pStyle w:val="MKappalejako"/>
      </w:pPr>
      <w:r w:rsidRPr="003410D0">
        <w:rPr>
          <w:b/>
        </w:rPr>
        <w:t>18 §</w:t>
      </w:r>
      <w:r>
        <w:t xml:space="preserve">. </w:t>
      </w:r>
      <w:r w:rsidRPr="003410D0">
        <w:rPr>
          <w:i/>
        </w:rPr>
        <w:t>Investoinnin hyväksyttävät kustannukset</w:t>
      </w:r>
      <w:r>
        <w:t>. Investoinnin tukikelpoisten kusta</w:t>
      </w:r>
      <w:r>
        <w:t>n</w:t>
      </w:r>
      <w:r>
        <w:t>nusten luetelmaa täsmennettäisiin pykälän informatiivisuuden parantamiseksi lisä</w:t>
      </w:r>
      <w:r>
        <w:t>ä</w:t>
      </w:r>
      <w:r>
        <w:t>mällä 1 momentin 1 kohtaan rakentamiskohteessa tarvittavat sähkö-, lämpö-, vesi- ja viemäri- sekä tietoliikenneliittymistä aiheutuvat kustannukset. Näitä kustannuksia voitaisiin tukea ainoastaan osana tuettavaa toimenpidettä.. Kyseisten kustannusten katsotaan lukeutuvan kiinteästi aineellisen investoinnin toteuttamiseen, kuten rake</w:t>
      </w:r>
      <w:r>
        <w:t>n</w:t>
      </w:r>
      <w:r>
        <w:t>nuksen rakentamiseen, sillä rakennus ei olisi käyttökelpoinen ilman edellä lueteltuja liittymiä. Lisäksi momentin 3 kohtaan lisättäisiin ”kalusto”. Muutoksen on tarkoitus selventää soveltamiskäytäntöä.</w:t>
      </w:r>
    </w:p>
    <w:p w:rsidR="003410D0" w:rsidRDefault="003410D0" w:rsidP="003410D0">
      <w:pPr>
        <w:pStyle w:val="MKappalejako"/>
      </w:pPr>
      <w:r>
        <w:t>Pykälän 3 momentista poistuisi säännös, jolla sallitaan vain uusien laitteiden tukem</w:t>
      </w:r>
      <w:r>
        <w:t>i</w:t>
      </w:r>
      <w:r>
        <w:t>nen. Tämän tilalle tulisi uusi säännös, jossa säädetään edellytyksistä, joita noudat</w:t>
      </w:r>
      <w:r>
        <w:t>e</w:t>
      </w:r>
      <w:r>
        <w:lastRenderedPageBreak/>
        <w:t>taan tuettaessa käytettyinä hankittavia koneita ja laitteita mukaan lukien välineet ja kalusto. Käytettynä hankittavia koneita ja laitteita ei ole voitu tähän mennessä tukea, sillä niiden tukeminen ei alun perin sisältynyt Manner-Suomen maaseudun kehitt</w:t>
      </w:r>
      <w:r>
        <w:t>ä</w:t>
      </w:r>
      <w:r>
        <w:t>misohjelmaan 2014–2020. Maaseutuohjelman mukaan edelleen tuetaan pääsääntö</w:t>
      </w:r>
      <w:r>
        <w:t>i</w:t>
      </w:r>
      <w:r>
        <w:t>sesti uusia koneita ja laitteita, etenkin jos uuden teknologian avulla toiminnan tuott</w:t>
      </w:r>
      <w:r>
        <w:t>a</w:t>
      </w:r>
      <w:r>
        <w:t xml:space="preserve">vuus tai käyttökelpoisuus merkittävästi parantuu. </w:t>
      </w:r>
    </w:p>
    <w:p w:rsidR="003410D0" w:rsidRDefault="003410D0" w:rsidP="003410D0">
      <w:pPr>
        <w:pStyle w:val="MKappalejako"/>
      </w:pPr>
      <w:r>
        <w:t>Käytettyjen koneiden ja laitteiden tukeminen edistää osaltaan materiaalitehokkuutta, resurssien tehokasta käyttöä ja kiertotaloutta. Tukea ei ole kuitenkaan tarkoitus suun-nata sellaisten käytettyjen koneiden ja laitteiden hankkimiseen, jotka ovat lähellä teknis-taloudellisen käyttöikänsä loppua. Käytettyjen koneiden ja laitteiden hankk</w:t>
      </w:r>
      <w:r>
        <w:t>i</w:t>
      </w:r>
      <w:r>
        <w:t>minen pitäisi perustella säännöksessä esitetyt edellytykset huomioon ottaen.  Tuk</w:t>
      </w:r>
      <w:r>
        <w:t>e</w:t>
      </w:r>
      <w:r>
        <w:t>misen edellytyksenä on, että hankinta hyväksytään tukipäätöksellä, jonka ehtoja tuen saajan tulee noudattaa.</w:t>
      </w:r>
    </w:p>
    <w:p w:rsidR="003410D0" w:rsidRDefault="003410D0" w:rsidP="003410D0">
      <w:pPr>
        <w:pStyle w:val="MKappalejako"/>
      </w:pPr>
      <w:r>
        <w:t>Tultaessa nykyiselle EU-ohjelmakaudelle 2014–2020 käytettyjen koneiden ja laitte</w:t>
      </w:r>
      <w:r>
        <w:t>i</w:t>
      </w:r>
      <w:r>
        <w:t>den tukemisesta säädetään komission delegoidun asetuksen (EU) N:o 807/2014 E</w:t>
      </w:r>
      <w:r>
        <w:t>u</w:t>
      </w:r>
      <w:r>
        <w:t>roopan maaseudun kehittämisen maatalousrahaston (maaseuturahasto) tuesta maa-seudun kehittämiseen annetun Euroopan parlamentin ja neuvoston asetuksen (EU) N:o 1305/2013 täydentämisestä ja siirtymäsäännöksistä 13 artiklan b kohdassa, jonka mukaan jäsenvaltioiden on esitettävä maaseudun kehittämisohjelmissaan edellyty</w:t>
      </w:r>
      <w:r>
        <w:t>k</w:t>
      </w:r>
      <w:r>
        <w:t>set, joiden mukaisesti käytettyjen välineiden ja laitteiden hankintaa voidaan pitää t</w:t>
      </w:r>
      <w:r>
        <w:t>u</w:t>
      </w:r>
      <w:r>
        <w:t>kikelpoisina menoina. Käytettyinä hankittavien koneiden ja laitteiden tukemisen p</w:t>
      </w:r>
      <w:r>
        <w:t>e</w:t>
      </w:r>
      <w:r>
        <w:t>riaatteet on sisällytetty Manner-Suomen maaseudun kehittämisohjelman 2014–2020 8 lukuun kyseisen ohjelman 2. muutoksen yhteydessä. Euroopan komissio hyväksyi muutoksen 29.2.2016 annetulla täytäntöönpanopäätöksellä Euroopan maaseudun k</w:t>
      </w:r>
      <w:r>
        <w:t>e</w:t>
      </w:r>
      <w:r>
        <w:t xml:space="preserve">hittämisen maatalousrahastosta myönnettävää tukea varten esitetyn Manner-Suomen maaseudun kehittämisohjelman muuttamisen hyväksymisestä (CCI 2014FI06RDRP001). </w:t>
      </w:r>
    </w:p>
    <w:p w:rsidR="003410D0" w:rsidRDefault="003410D0" w:rsidP="003410D0">
      <w:pPr>
        <w:pStyle w:val="MKappalejako"/>
      </w:pPr>
      <w:r w:rsidRPr="003410D0">
        <w:rPr>
          <w:b/>
        </w:rPr>
        <w:t>19 §</w:t>
      </w:r>
      <w:r>
        <w:t xml:space="preserve">. </w:t>
      </w:r>
      <w:proofErr w:type="gramStart"/>
      <w:r w:rsidRPr="003410D0">
        <w:rPr>
          <w:i/>
        </w:rPr>
        <w:t>Rakennuksen ja kiinteistön hankintaa koskevan tuen lisäedellytykset</w:t>
      </w:r>
      <w:r>
        <w:t>.</w:t>
      </w:r>
      <w:proofErr w:type="gramEnd"/>
      <w:r>
        <w:t xml:space="preserve"> Pykälästä poistettaisiin 1 kohta, jolloin voimassa olevan pykälän 2 kohta siirtyisi 1 kohdaksi, ja vastaavasti 3 kohta 2 kohdaksi. Poistettaessa rakennuksen ja kiinteistön hankintaan myönnettävän tuen edellytyksistä kohta: ”rakennuksen rakentamiseen, laajentam</w:t>
      </w:r>
      <w:r>
        <w:t>i</w:t>
      </w:r>
      <w:r>
        <w:t>seen tai peruskorjaamiseen taikka kiinteistön hankintaan ei ole myönnetty ja makse</w:t>
      </w:r>
      <w:r>
        <w:t>t</w:t>
      </w:r>
      <w:r>
        <w:t>tu luovutusta edeltävän kymmenen vuoden aikana Euroopan unionin rahoitusta” p</w:t>
      </w:r>
      <w:r>
        <w:t>y</w:t>
      </w:r>
      <w:r>
        <w:t>ritään vähentämään byrokratiaa. Kyseistä pykälän 1 kohdassa säädettyä 10 vuoden karenssia on käytännössä ollut erittäin hankalaa valvoa, ja sen soveltaminen, ja ma</w:t>
      </w:r>
      <w:r>
        <w:t>h</w:t>
      </w:r>
      <w:r>
        <w:t>dollisen vanhan tuen olemassa olo, on voinut tulla uudelle omistajalle yllätyksenä. Sen, että onko vanha omistaja saanut tukea rakennuksen korjaamiseen tai hankintaan esimerkiksi 9 vuotta sitten, ei pitäisi vaikuttaa uuden omistajan mahdollisuuteen sa</w:t>
      </w:r>
      <w:r>
        <w:t>a</w:t>
      </w:r>
      <w:r>
        <w:t>da tukea.</w:t>
      </w:r>
    </w:p>
    <w:p w:rsidR="003410D0" w:rsidRDefault="003410D0" w:rsidP="003410D0">
      <w:pPr>
        <w:pStyle w:val="MKappalejako"/>
      </w:pPr>
      <w:r w:rsidRPr="003410D0">
        <w:rPr>
          <w:b/>
        </w:rPr>
        <w:t>20 §</w:t>
      </w:r>
      <w:r>
        <w:t xml:space="preserve">. </w:t>
      </w:r>
      <w:proofErr w:type="gramStart"/>
      <w:r w:rsidRPr="003410D0">
        <w:rPr>
          <w:i/>
        </w:rPr>
        <w:t>Teemahankkeena tuettava toiminta</w:t>
      </w:r>
      <w:r>
        <w:t>.</w:t>
      </w:r>
      <w:proofErr w:type="gramEnd"/>
      <w:r>
        <w:t xml:space="preserve"> Pykälän 1 momenttiin tehtäisiin tarkennus. Momentin johtolauseen sanamuoto on aiemmin kuulunut: ” Sen lisäksi, mitä kehi</w:t>
      </w:r>
      <w:r>
        <w:t>t</w:t>
      </w:r>
      <w:r>
        <w:t>tämistukilain 26 §:n 1 momentissa säädetään, tukea teemahankkeeseen voidaan myöntää:”. Kohta korjattaisiin seuraavanlaiseksi: ” Tukea teemahankkeeseen vo</w:t>
      </w:r>
      <w:r>
        <w:t>i</w:t>
      </w:r>
      <w:r>
        <w:t>daan myöntää kehittämistukilain 26 §:n 1 momentin mukaisesti”. Muutoksella on tarkoitus pitää teemahankkeen tuki kehittämistukilain mukaisena.</w:t>
      </w:r>
    </w:p>
    <w:p w:rsidR="003410D0" w:rsidRDefault="003410D0" w:rsidP="003410D0">
      <w:pPr>
        <w:pStyle w:val="MKappalejako"/>
      </w:pPr>
      <w:r w:rsidRPr="003410D0">
        <w:rPr>
          <w:b/>
        </w:rPr>
        <w:lastRenderedPageBreak/>
        <w:t>25 §</w:t>
      </w:r>
      <w:r>
        <w:t xml:space="preserve">. </w:t>
      </w:r>
      <w:r w:rsidRPr="003410D0">
        <w:rPr>
          <w:i/>
        </w:rPr>
        <w:t>Prosenttimääräinen korvaus</w:t>
      </w:r>
      <w:r>
        <w:t>. Pykälän 1 momenttia yhdenmukaistettaisiin r</w:t>
      </w:r>
      <w:r>
        <w:t>a</w:t>
      </w:r>
      <w:r>
        <w:t>kennerahastojen tukikelpoisuusasetuksen kanssa. Momentista muutettaisiin ”han</w:t>
      </w:r>
      <w:r>
        <w:t>k</w:t>
      </w:r>
      <w:r>
        <w:t>keen hyväksyttävät palkkakustannukset” ”hankkeen hyväksyttäviksi hankehenkilö</w:t>
      </w:r>
      <w:r>
        <w:t>s</w:t>
      </w:r>
      <w:r>
        <w:t>tön palkkakustannuksiksi”. Palkkakustannuksia, joiden perusteella prosenttimäärä</w:t>
      </w:r>
      <w:r>
        <w:t>i</w:t>
      </w:r>
      <w:r>
        <w:t>sen korvauksen osuus lasketaan, ovat esimerkiksi hankepäällikön ja hankesihteerin palkkakustannukset ja muut varsinaisesta työsuhteesta aiheutuneet palkkakustannu</w:t>
      </w:r>
      <w:r>
        <w:t>k</w:t>
      </w:r>
      <w:r>
        <w:t>set. Palkkakustannuksiin ei lueta lyhyitä ostopalvelun luonteisia korvauksia kuten t</w:t>
      </w:r>
      <w:r>
        <w:t>a</w:t>
      </w:r>
      <w:r>
        <w:t xml:space="preserve">loushallinnon kustannuksia. Hankkeen varoilla palkatulla henkilöllä on aina oltava kirjallinen tehtävänkuvaus, jonka perusteella voidaan arvioida tehtävien tarpeellisuus hankkeen kannalta. </w:t>
      </w:r>
    </w:p>
    <w:p w:rsidR="003410D0" w:rsidRDefault="003410D0" w:rsidP="003410D0">
      <w:pPr>
        <w:pStyle w:val="MKappalejako"/>
      </w:pPr>
      <w:bookmarkStart w:id="0" w:name="_GoBack"/>
      <w:bookmarkEnd w:id="0"/>
      <w:r w:rsidRPr="003410D0">
        <w:rPr>
          <w:b/>
        </w:rPr>
        <w:t>26 §</w:t>
      </w:r>
      <w:r>
        <w:t xml:space="preserve">. </w:t>
      </w:r>
      <w:r w:rsidRPr="003410D0">
        <w:rPr>
          <w:i/>
        </w:rPr>
        <w:t>Tuen ulkopuolelle jäävät kustannukset</w:t>
      </w:r>
      <w:r>
        <w:t>. Pykälän 1 momentin 11 kohta muute</w:t>
      </w:r>
      <w:r>
        <w:t>t</w:t>
      </w:r>
      <w:r>
        <w:t>taisiin vastaamaan edellisen ohjelmakauden mukaista muotoilua. Kohdassa edellyt</w:t>
      </w:r>
      <w:r>
        <w:t>e</w:t>
      </w:r>
      <w:r>
        <w:t xml:space="preserve">tään, että vain jo työsuhteessa olevan </w:t>
      </w:r>
      <w:r w:rsidRPr="003410D0">
        <w:rPr>
          <w:i/>
        </w:rPr>
        <w:t>kokoaikaisen</w:t>
      </w:r>
      <w:r>
        <w:t xml:space="preserve"> työntekijän palkkauksesta aihe</w:t>
      </w:r>
      <w:r>
        <w:t>u</w:t>
      </w:r>
      <w:r>
        <w:t>tuviin kustannuksiin voitaisiin myöntää tukea. Tämä kokoaikaisuuden vaatimus poi</w:t>
      </w:r>
      <w:r>
        <w:t>s</w:t>
      </w:r>
      <w:r>
        <w:t>tettaisiin, sillä se on ollut ristiriidassa muun muassa työsopimuslain (55/2001) kan</w:t>
      </w:r>
      <w:r>
        <w:t>s</w:t>
      </w:r>
      <w:r>
        <w:t>sa.</w:t>
      </w:r>
    </w:p>
    <w:p w:rsidR="003410D0" w:rsidRDefault="003410D0" w:rsidP="003410D0">
      <w:pPr>
        <w:pStyle w:val="MKappalejako"/>
      </w:pPr>
      <w:r>
        <w:t>Työsopimuslain 2 luvun 5 §:n mukaan jos työnantaja tarvitsee lisää työntekijöitä h</w:t>
      </w:r>
      <w:r>
        <w:t>ä</w:t>
      </w:r>
      <w:r>
        <w:t>nen osa-aikatyötä tekeville työntekijöilleen sopiviin tehtäviin, työnantajan on tarjo</w:t>
      </w:r>
      <w:r>
        <w:t>t</w:t>
      </w:r>
      <w:r>
        <w:t>tava näitä töitä osa-aikatyöntekijöille 6 luvun 6 §:stä riippumatta.</w:t>
      </w:r>
    </w:p>
    <w:p w:rsidR="003410D0" w:rsidRDefault="003410D0" w:rsidP="003410D0">
      <w:pPr>
        <w:pStyle w:val="MKappalejako"/>
      </w:pPr>
      <w:r>
        <w:t>7 luvun 3 §:n mukaan perustetta irtisanomiseen ei ole, jos työnantaja on joko ennen irtisanomista tai sen jälkeen ottanut uuden työntekijän samankaltaisiin tehtäviin, vaikka hänen toimintaedellytyksensä eivät ole vastaavana aikana muuttuneet.</w:t>
      </w:r>
    </w:p>
    <w:p w:rsidR="003410D0" w:rsidRDefault="003410D0" w:rsidP="003410D0">
      <w:pPr>
        <w:pStyle w:val="MKappalejako"/>
      </w:pPr>
      <w:r>
        <w:t>Näistä työsopimuslain mukaisista säännöksistä johtuen osa-aikaista työntekijää ei saisi irtisanoa vaan hänelle tulisi ensisijaisesti tarjota kokoaikaista työtä, jos työna</w:t>
      </w:r>
      <w:r>
        <w:t>n</w:t>
      </w:r>
      <w:r>
        <w:t>tajalla on tarve lisätyön tekemiseen. Pykälän muutos koskee nimenomaan tilannetta, jossa on lisätyön tarve ja tehtävää on jo hoitamassa osa-aikainen työntekijä.</w:t>
      </w:r>
    </w:p>
    <w:p w:rsidR="003410D0" w:rsidRDefault="003410D0" w:rsidP="003410D0">
      <w:pPr>
        <w:pStyle w:val="MKappalejako"/>
      </w:pPr>
      <w:r w:rsidRPr="003410D0">
        <w:rPr>
          <w:b/>
        </w:rPr>
        <w:t>36 §</w:t>
      </w:r>
      <w:r>
        <w:t xml:space="preserve">. </w:t>
      </w:r>
      <w:r w:rsidRPr="003410D0">
        <w:rPr>
          <w:i/>
        </w:rPr>
        <w:t>Tuen maksuerät</w:t>
      </w:r>
      <w:r>
        <w:t>. Pykälän kolmas momentti poistettaisiin toimeenpanossa h</w:t>
      </w:r>
      <w:r>
        <w:t>a</w:t>
      </w:r>
      <w:r>
        <w:t>vaittujen ongelmien takia. Erityisesti ohjelmakauden alussa sähköiseen hakujärje</w:t>
      </w:r>
      <w:r>
        <w:t>s</w:t>
      </w:r>
      <w:r>
        <w:t>telmään siirtyminen (Hyrrä) on aiheuttanut maksuhakemusten kasautumista. Poiste</w:t>
      </w:r>
      <w:r>
        <w:t>t</w:t>
      </w:r>
      <w:r>
        <w:t xml:space="preserve">tava momentti on estänyt </w:t>
      </w:r>
      <w:proofErr w:type="spellStart"/>
      <w:r>
        <w:t>Leader-ryhmien</w:t>
      </w:r>
      <w:proofErr w:type="spellEnd"/>
      <w:r>
        <w:t xml:space="preserve"> toimintarahan hakua useammin kuin ka</w:t>
      </w:r>
      <w:r>
        <w:t>h</w:t>
      </w:r>
      <w:r>
        <w:t>tena maksukertana vuosittain, vaikka kustannukset ovat syntyneet ja maksuhakemu</w:t>
      </w:r>
      <w:r>
        <w:t>k</w:t>
      </w:r>
      <w:r>
        <w:t xml:space="preserve">set kaikin puolin muuten olisivat kunnossa. </w:t>
      </w:r>
    </w:p>
    <w:p w:rsidR="003410D0" w:rsidRDefault="003410D0" w:rsidP="003410D0">
      <w:pPr>
        <w:pStyle w:val="MKappalejako"/>
      </w:pPr>
      <w:r>
        <w:t xml:space="preserve">Poistuneen kolmannen momentin tilalle lisättäisiin säännös, miten maksuerät </w:t>
      </w:r>
      <w:proofErr w:type="spellStart"/>
      <w:r>
        <w:t>mää-räytyvät</w:t>
      </w:r>
      <w:proofErr w:type="spellEnd"/>
      <w:r>
        <w:t xml:space="preserve"> teemahankkeissa. Tuki teemahankkeen kumpaankin osioon voidaan maksaa vuosittain enintään neljässä erässä, siten että toimenpiteiden osio voidaan maksaa vuosittain enintään neljässä erässä ja hankkeeseen mahdollisesti hyväksytty </w:t>
      </w:r>
      <w:proofErr w:type="spellStart"/>
      <w:r>
        <w:t>kokoa-misen</w:t>
      </w:r>
      <w:proofErr w:type="spellEnd"/>
      <w:r>
        <w:t>, yhteistyön ja kokemusten vaihdon osio vuosittain enintään neljässä erässä, huomioiden kuitenkin, että tuki yleishyödyllisen investoinnin toimenpiteisiin voidaan maksaa koko hankkeen ajalta enintään kuudessa erässä siten, että viimeinen erä on vähintään 20 % teemahankkeen investointitoimenpiteisiin myönnetystä tuesta.</w:t>
      </w:r>
    </w:p>
    <w:p w:rsidR="003410D0" w:rsidRDefault="003410D0" w:rsidP="003410D0">
      <w:pPr>
        <w:pStyle w:val="MKappalejako"/>
      </w:pPr>
      <w:r>
        <w:t>Asetuksella tarkennettaisiin maksuerien rajausta teemahankkeiden osalta, tarkoitu</w:t>
      </w:r>
      <w:r>
        <w:t>k</w:t>
      </w:r>
      <w:r>
        <w:t>sena varmistaa tuensaajille mahdollisimman joustava maksatus myös teemahankke</w:t>
      </w:r>
      <w:r>
        <w:t>i</w:t>
      </w:r>
      <w:r>
        <w:t>den osalta.</w:t>
      </w:r>
    </w:p>
    <w:p w:rsidR="003410D0" w:rsidRDefault="003410D0" w:rsidP="003410D0">
      <w:pPr>
        <w:pStyle w:val="MKappalejako"/>
      </w:pPr>
      <w:r w:rsidRPr="003410D0">
        <w:rPr>
          <w:b/>
        </w:rPr>
        <w:lastRenderedPageBreak/>
        <w:t>37 §</w:t>
      </w:r>
      <w:r>
        <w:t xml:space="preserve">. </w:t>
      </w:r>
      <w:r w:rsidRPr="003410D0">
        <w:rPr>
          <w:i/>
        </w:rPr>
        <w:t>Tulojen vaikutus</w:t>
      </w:r>
      <w:r>
        <w:t>. Toiseen momenttiin lisättäisiin rajaus, että hankkeen hyvä</w:t>
      </w:r>
      <w:r>
        <w:t>k</w:t>
      </w:r>
      <w:r>
        <w:t>syttävistä kustannuksista tehtyä tulojen vähentämistä ei sovellettaisi toimiin, joiden tukikelpoisten kustannusten kokonaismäärä on enintään 50 000 euroa. Säännös jo</w:t>
      </w:r>
      <w:r>
        <w:t>h</w:t>
      </w:r>
      <w:r>
        <w:t>tuu Euroopan neuvoston asetuksen 1303/2013, niin sanotun yleisasetuksen, 65 arti</w:t>
      </w:r>
      <w:r>
        <w:t>k</w:t>
      </w:r>
      <w:r>
        <w:t>lan i alakohdasta: ”Tätä kohtaa ei sovelleta toimiin, joiden tukikelpoisten kustannu</w:t>
      </w:r>
      <w:r>
        <w:t>s</w:t>
      </w:r>
      <w:r>
        <w:t xml:space="preserve">ten kokonaismäärä on enintään 50 000 euroa”. </w:t>
      </w:r>
    </w:p>
    <w:p w:rsidR="003410D0" w:rsidRDefault="003410D0" w:rsidP="003410D0">
      <w:pPr>
        <w:pStyle w:val="MKappalejako"/>
      </w:pPr>
      <w:r>
        <w:t>Lisäksi pykälään lisättäisiin uusi kolmas momentti, johtuen yleisasetuksen samasta artiklasta. Hankkeisiin, joiden tukikelpoiset kokonaiskustannukset ovat yli miljoona euroa ja jotka tuottavat nettotuloja niiden päättymisen jälkeen, sovellettaisiin 37 §:ssä säädetyn sijaan yleisasetuksen 61 artiklaa, jollei hankkeeseen sovellettavasta valtion-tukea koskevasta lainsäädännöstä muuta johdu.</w:t>
      </w:r>
    </w:p>
    <w:p w:rsidR="003410D0" w:rsidRDefault="003410D0" w:rsidP="003410D0">
      <w:pPr>
        <w:pStyle w:val="MKappalejako"/>
      </w:pPr>
      <w:r>
        <w:t>Jos tulot voidaan arvioida etukäteen, sovellettaisiin tulojen määrittämiseen yleisas</w:t>
      </w:r>
      <w:r>
        <w:t>e</w:t>
      </w:r>
      <w:r>
        <w:t>tuksen 61 artiklan 3 kohdan b alakohtaa. Kun tulojen arviointi etukäteen on mahd</w:t>
      </w:r>
      <w:r>
        <w:t>o</w:t>
      </w:r>
      <w:r>
        <w:t>tonta, sovellettaisiin yleisasetuksen 61 artiklan 6 kohtaa nettotulojen vähentämiseen.</w:t>
      </w:r>
    </w:p>
    <w:p w:rsidR="003410D0" w:rsidRDefault="003410D0" w:rsidP="003410D0">
      <w:pPr>
        <w:pStyle w:val="MKappalejako"/>
      </w:pPr>
      <w:r>
        <w:t xml:space="preserve">Sama säännös on otettu rakennerahastoasetukseen (358/2014). Yli 1 miljoona euroa tukea saavia hankkeita voivat olla muun muassa laajakaistahankkeet ja vesihuolto-hankkeet, jotka ovat investointihankkeita. Yli 1 </w:t>
      </w:r>
      <w:proofErr w:type="gramStart"/>
      <w:r>
        <w:t>miljoona</w:t>
      </w:r>
      <w:proofErr w:type="gramEnd"/>
      <w:r>
        <w:t xml:space="preserve"> euroa tukea </w:t>
      </w:r>
      <w:proofErr w:type="gramStart"/>
      <w:r>
        <w:t>saavat</w:t>
      </w:r>
      <w:proofErr w:type="gramEnd"/>
      <w:r>
        <w:t xml:space="preserve"> han</w:t>
      </w:r>
      <w:r>
        <w:t>k</w:t>
      </w:r>
      <w:r>
        <w:t>keet todennäköisesti eivät tule nettotuloja tuottamaan, joten tämä säännös ei ehkä koskaan realisoidu. EU-lainsäädännöstä johtuen säännöt tulee kuitenkin kansalliseen lainsäädäntöön ottaa. Maaseutualueiden laajakaistahankkeet tarvitsevat tukea juuri sen takia, ettei niillä kukaan voittoa voi saada.</w:t>
      </w:r>
    </w:p>
    <w:p w:rsidR="003410D0" w:rsidRDefault="003410D0" w:rsidP="003410D0">
      <w:pPr>
        <w:pStyle w:val="MKappalejako"/>
      </w:pPr>
      <w:r>
        <w:t>Yleisasetuksen 61 artiklan mukaisesti nettotuloilla tarkoitetaan rahavirtoja, jotka käyttäjät maksavat suoraan kyseisen hankkeen tuottamista tavaroista tai palveluista, kuten infrastruktuurin käytöstä välittömästi käyttäjien maksettavaksi tulevia maksuja, maapohjan tai rakennusten myyntiä tai vuokraamista tai maksuja palveluiden suori</w:t>
      </w:r>
      <w:r>
        <w:t>t</w:t>
      </w:r>
      <w:r>
        <w:t>tamisesta, vähennettyinä kyseisellä kaudella syntyneillä toimintakustannuksilla ja l</w:t>
      </w:r>
      <w:r>
        <w:t>y</w:t>
      </w:r>
      <w:r>
        <w:t>hytikäisten laitteiden jälleenhankintakustannuksilla. Hankkeen tuottamia toiminta-kustannusten säästöjä on käsiteltävä nettotuloina, jollei niitä tasoiteta samansuuruisi</w:t>
      </w:r>
      <w:r>
        <w:t>l</w:t>
      </w:r>
      <w:r>
        <w:t>la vähennyksillä tuen määrästä. Jos kaikki investointikustannukset eivät ole tukike</w:t>
      </w:r>
      <w:r>
        <w:t>l</w:t>
      </w:r>
      <w:r>
        <w:t>poisia osarahoitusta varten, nettotulot jaetaan investointikustannusten tukikelpoisten ja muiden kuin tukikelpoisten osien suhteessa.</w:t>
      </w:r>
    </w:p>
    <w:p w:rsidR="003410D0" w:rsidRPr="003410D0" w:rsidRDefault="003410D0" w:rsidP="003410D0">
      <w:pPr>
        <w:pStyle w:val="MKappalejako"/>
      </w:pPr>
      <w:r w:rsidRPr="003410D0">
        <w:rPr>
          <w:b/>
        </w:rPr>
        <w:t>39 §</w:t>
      </w:r>
      <w:r>
        <w:t xml:space="preserve">. </w:t>
      </w:r>
      <w:r w:rsidRPr="003410D0">
        <w:rPr>
          <w:i/>
        </w:rPr>
        <w:t>Tuen maksaminen</w:t>
      </w:r>
      <w:r>
        <w:t>. Pykälän 2 momenttiin lisättäisiin maininta, että poistoku</w:t>
      </w:r>
      <w:r>
        <w:t>s</w:t>
      </w:r>
      <w:r>
        <w:t>tannusten tukikelpoisuus muodostaa poikkeuksen. Poisto on poikkeus siihen pää-sääntöön, että menon tulee olla tuensaajan maksama. Poiston tekemisen edellytyks</w:t>
      </w:r>
      <w:r>
        <w:t>e</w:t>
      </w:r>
      <w:r>
        <w:t>nä on, että sen määrä voidaan todeta kirjanpidosta ja että poistot lasketaan kirjanpit</w:t>
      </w:r>
      <w:r>
        <w:t>o</w:t>
      </w:r>
      <w:r>
        <w:t>lain (1336/1997) tai vastaavan tuensaajaa koskevan muun säännöstön perusteella. Kysymyksessä on yleisasetuksen 69 artiklan 2 kohdan mukaisesta poikkeuksesta sääntöön, jonka mukaan menon tulee olla tuensaajan maksama. Poiston tukikelpo</w:t>
      </w:r>
      <w:r>
        <w:t>i</w:t>
      </w:r>
      <w:r>
        <w:t>suuden edellytyksenä on, että poiston kohteena olevan omaisuuden hankintaan ei ole saatu julkista tukea. Julkisella tuella tarkoitetaan mitä tahansa julkista tukea, jota on käytetty omaisuuden hankintaan. Säännöksen tarkoituksena on estää kustannuksen rahoittaminen kahteen kertaan julkisista varoista. Säännöksellä estetään myös tuen kumuloituminen.</w:t>
      </w:r>
    </w:p>
    <w:sectPr w:rsidR="003410D0" w:rsidRPr="003410D0"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D0" w:rsidRDefault="003410D0">
      <w:r>
        <w:separator/>
      </w:r>
    </w:p>
    <w:p w:rsidR="003410D0" w:rsidRDefault="003410D0"/>
  </w:endnote>
  <w:endnote w:type="continuationSeparator" w:id="0">
    <w:p w:rsidR="003410D0" w:rsidRDefault="003410D0">
      <w:r>
        <w:continuationSeparator/>
      </w:r>
    </w:p>
    <w:p w:rsidR="003410D0" w:rsidRDefault="00341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D0" w:rsidRDefault="003410D0">
      <w:r>
        <w:separator/>
      </w:r>
    </w:p>
    <w:p w:rsidR="003410D0" w:rsidRDefault="003410D0"/>
  </w:footnote>
  <w:footnote w:type="continuationSeparator" w:id="0">
    <w:p w:rsidR="003410D0" w:rsidRDefault="003410D0">
      <w:r>
        <w:continuationSeparator/>
      </w:r>
    </w:p>
    <w:p w:rsidR="003410D0" w:rsidRDefault="00341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A5AC3">
      <w:rPr>
        <w:rStyle w:val="Sivunumero"/>
        <w:noProof/>
      </w:rPr>
      <w:t>7</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5148"/>
      <w:gridCol w:w="2160"/>
      <w:gridCol w:w="455"/>
      <w:gridCol w:w="2062"/>
    </w:tblGrid>
    <w:tr w:rsidR="00143213" w:rsidTr="00CD361B">
      <w:tc>
        <w:tcPr>
          <w:tcW w:w="5148" w:type="dxa"/>
        </w:tcPr>
        <w:p w:rsidR="00143213" w:rsidRDefault="003410D0" w:rsidP="00E55B2F">
          <w:pPr>
            <w:pStyle w:val="MMinisterio"/>
          </w:pPr>
          <w:r>
            <w:t>maa- ja metsätalousministeriö</w:t>
          </w:r>
        </w:p>
      </w:tc>
      <w:tc>
        <w:tcPr>
          <w:tcW w:w="2160" w:type="dxa"/>
        </w:tcPr>
        <w:p w:rsidR="00143213" w:rsidRDefault="003410D0" w:rsidP="00CE1E6A">
          <w:pPr>
            <w:pStyle w:val="MAsiakirjatyyppi"/>
          </w:pPr>
          <w:r>
            <w:t>Muistio</w:t>
          </w:r>
        </w:p>
      </w:tc>
      <w:tc>
        <w:tcPr>
          <w:tcW w:w="2517" w:type="dxa"/>
          <w:gridSpan w:val="2"/>
        </w:tcPr>
        <w:p w:rsidR="00143213" w:rsidRDefault="00143213" w:rsidP="00CE1E6A">
          <w:pPr>
            <w:pStyle w:val="MLiite"/>
          </w:pPr>
        </w:p>
      </w:tc>
    </w:tr>
    <w:tr w:rsidR="003410D0" w:rsidTr="00CD361B">
      <w:tc>
        <w:tcPr>
          <w:tcW w:w="5148" w:type="dxa"/>
        </w:tcPr>
        <w:p w:rsidR="003410D0" w:rsidRPr="009B1A3E" w:rsidRDefault="003410D0" w:rsidP="00607CB8">
          <w:pPr>
            <w:pStyle w:val="MNimi"/>
          </w:pPr>
          <w:r>
            <w:t>Hallitussihteeri</w:t>
          </w:r>
        </w:p>
      </w:tc>
      <w:tc>
        <w:tcPr>
          <w:tcW w:w="2160" w:type="dxa"/>
        </w:tcPr>
        <w:p w:rsidR="003410D0" w:rsidRDefault="003410D0" w:rsidP="00CE1E6A">
          <w:pPr>
            <w:pStyle w:val="Mpaivamaara"/>
          </w:pPr>
          <w:r>
            <w:t>Luonnos</w:t>
          </w:r>
        </w:p>
      </w:tc>
      <w:tc>
        <w:tcPr>
          <w:tcW w:w="2517" w:type="dxa"/>
          <w:gridSpan w:val="2"/>
        </w:tcPr>
        <w:p w:rsidR="003410D0" w:rsidRPr="00036CE7" w:rsidRDefault="00036CE7" w:rsidP="00CE1E6A">
          <w:pPr>
            <w:pStyle w:val="MDnro"/>
          </w:pPr>
          <w:r w:rsidRPr="00036CE7">
            <w:rPr>
              <w:rStyle w:val="ng-binding"/>
            </w:rPr>
            <w:t>MMM015:00/2017</w:t>
          </w:r>
        </w:p>
      </w:tc>
    </w:tr>
    <w:tr w:rsidR="003410D0" w:rsidTr="00036CE7">
      <w:tc>
        <w:tcPr>
          <w:tcW w:w="5148" w:type="dxa"/>
        </w:tcPr>
        <w:p w:rsidR="003410D0" w:rsidRDefault="003410D0" w:rsidP="003410D0">
          <w:pPr>
            <w:pStyle w:val="Yltunniste"/>
          </w:pPr>
          <w:r>
            <w:t>Laura North</w:t>
          </w:r>
        </w:p>
        <w:p w:rsidR="003410D0" w:rsidRPr="009B1A3E" w:rsidRDefault="003410D0" w:rsidP="00C35CC2">
          <w:pPr>
            <w:pStyle w:val="MNimi"/>
          </w:pPr>
        </w:p>
      </w:tc>
      <w:tc>
        <w:tcPr>
          <w:tcW w:w="2615" w:type="dxa"/>
          <w:gridSpan w:val="2"/>
        </w:tcPr>
        <w:p w:rsidR="003410D0" w:rsidRDefault="003410D0" w:rsidP="003410D0">
          <w:pPr>
            <w:pStyle w:val="MAsiakirjanTila"/>
          </w:pPr>
          <w:r>
            <w:t>13.3.2017</w:t>
          </w:r>
        </w:p>
      </w:tc>
      <w:tc>
        <w:tcPr>
          <w:tcW w:w="2062" w:type="dxa"/>
        </w:tcPr>
        <w:p w:rsidR="003410D0" w:rsidRPr="00036CE7" w:rsidRDefault="00036CE7" w:rsidP="00CE1E6A">
          <w:pPr>
            <w:pStyle w:val="MAsiakirjanTila"/>
          </w:pPr>
          <w:r w:rsidRPr="00036CE7">
            <w:t>530/01.02/2017</w:t>
          </w:r>
        </w:p>
      </w:tc>
    </w:tr>
  </w:tbl>
  <w:p w:rsidR="003410D0" w:rsidRDefault="003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0"/>
    <w:rsid w:val="00004E1D"/>
    <w:rsid w:val="00017D49"/>
    <w:rsid w:val="00030DDB"/>
    <w:rsid w:val="00036CE7"/>
    <w:rsid w:val="00043104"/>
    <w:rsid w:val="00043EE3"/>
    <w:rsid w:val="000440CB"/>
    <w:rsid w:val="0006006D"/>
    <w:rsid w:val="00076E87"/>
    <w:rsid w:val="00096B92"/>
    <w:rsid w:val="000A3943"/>
    <w:rsid w:val="000B6C47"/>
    <w:rsid w:val="000B6EF6"/>
    <w:rsid w:val="000D62D8"/>
    <w:rsid w:val="000E197A"/>
    <w:rsid w:val="000E3810"/>
    <w:rsid w:val="000E6D17"/>
    <w:rsid w:val="00114762"/>
    <w:rsid w:val="00117436"/>
    <w:rsid w:val="001412F3"/>
    <w:rsid w:val="00143213"/>
    <w:rsid w:val="001517E7"/>
    <w:rsid w:val="001615BD"/>
    <w:rsid w:val="0016247A"/>
    <w:rsid w:val="001662DC"/>
    <w:rsid w:val="001769BB"/>
    <w:rsid w:val="00186413"/>
    <w:rsid w:val="001945AF"/>
    <w:rsid w:val="001B3BEF"/>
    <w:rsid w:val="001B7D50"/>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959A2"/>
    <w:rsid w:val="002A6D64"/>
    <w:rsid w:val="002D2221"/>
    <w:rsid w:val="002F1111"/>
    <w:rsid w:val="002F1CD0"/>
    <w:rsid w:val="002F5ADA"/>
    <w:rsid w:val="00305FB3"/>
    <w:rsid w:val="0032257C"/>
    <w:rsid w:val="00333024"/>
    <w:rsid w:val="003373ED"/>
    <w:rsid w:val="003410D0"/>
    <w:rsid w:val="003414B2"/>
    <w:rsid w:val="00347B82"/>
    <w:rsid w:val="00363829"/>
    <w:rsid w:val="00365336"/>
    <w:rsid w:val="0037683C"/>
    <w:rsid w:val="00381DF8"/>
    <w:rsid w:val="00395A74"/>
    <w:rsid w:val="00397305"/>
    <w:rsid w:val="003A27A7"/>
    <w:rsid w:val="003A7179"/>
    <w:rsid w:val="003F5CF3"/>
    <w:rsid w:val="00405236"/>
    <w:rsid w:val="00414699"/>
    <w:rsid w:val="004207EA"/>
    <w:rsid w:val="00422707"/>
    <w:rsid w:val="0042375E"/>
    <w:rsid w:val="0043412F"/>
    <w:rsid w:val="00436212"/>
    <w:rsid w:val="00464D49"/>
    <w:rsid w:val="004810C9"/>
    <w:rsid w:val="00481716"/>
    <w:rsid w:val="00481A80"/>
    <w:rsid w:val="00483F45"/>
    <w:rsid w:val="00487091"/>
    <w:rsid w:val="004912D1"/>
    <w:rsid w:val="004C539B"/>
    <w:rsid w:val="004D147B"/>
    <w:rsid w:val="004D651D"/>
    <w:rsid w:val="004E1E7B"/>
    <w:rsid w:val="004E6542"/>
    <w:rsid w:val="004F50CD"/>
    <w:rsid w:val="00506F26"/>
    <w:rsid w:val="00514D78"/>
    <w:rsid w:val="005160A2"/>
    <w:rsid w:val="005214BD"/>
    <w:rsid w:val="005422C5"/>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42AD4"/>
    <w:rsid w:val="00677DBD"/>
    <w:rsid w:val="006943CB"/>
    <w:rsid w:val="006A1C44"/>
    <w:rsid w:val="006B09CF"/>
    <w:rsid w:val="006C154F"/>
    <w:rsid w:val="006E28C8"/>
    <w:rsid w:val="006E4485"/>
    <w:rsid w:val="0071076F"/>
    <w:rsid w:val="0071346F"/>
    <w:rsid w:val="00720E96"/>
    <w:rsid w:val="00723CB9"/>
    <w:rsid w:val="007301DD"/>
    <w:rsid w:val="00741565"/>
    <w:rsid w:val="00750850"/>
    <w:rsid w:val="0075649A"/>
    <w:rsid w:val="007637CD"/>
    <w:rsid w:val="007637F5"/>
    <w:rsid w:val="00770FC1"/>
    <w:rsid w:val="00775D62"/>
    <w:rsid w:val="0078182B"/>
    <w:rsid w:val="00791DF1"/>
    <w:rsid w:val="007A14E9"/>
    <w:rsid w:val="007A2B6B"/>
    <w:rsid w:val="007B5EB1"/>
    <w:rsid w:val="007C58E9"/>
    <w:rsid w:val="007E6C44"/>
    <w:rsid w:val="007F5111"/>
    <w:rsid w:val="0080374A"/>
    <w:rsid w:val="00815FA3"/>
    <w:rsid w:val="00836E45"/>
    <w:rsid w:val="008372BC"/>
    <w:rsid w:val="00837A36"/>
    <w:rsid w:val="00840F2D"/>
    <w:rsid w:val="008523BF"/>
    <w:rsid w:val="00853B1E"/>
    <w:rsid w:val="00860B1E"/>
    <w:rsid w:val="0086435B"/>
    <w:rsid w:val="00880CAB"/>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913E0"/>
    <w:rsid w:val="00994D8D"/>
    <w:rsid w:val="009974C8"/>
    <w:rsid w:val="009A074B"/>
    <w:rsid w:val="009A0B8F"/>
    <w:rsid w:val="009B1A3E"/>
    <w:rsid w:val="009C6F3C"/>
    <w:rsid w:val="009D2474"/>
    <w:rsid w:val="009E1140"/>
    <w:rsid w:val="009F1E51"/>
    <w:rsid w:val="00A06E73"/>
    <w:rsid w:val="00A10094"/>
    <w:rsid w:val="00A17A33"/>
    <w:rsid w:val="00A17F62"/>
    <w:rsid w:val="00A204CF"/>
    <w:rsid w:val="00A31814"/>
    <w:rsid w:val="00A33AB3"/>
    <w:rsid w:val="00A46A4A"/>
    <w:rsid w:val="00A50708"/>
    <w:rsid w:val="00A532EA"/>
    <w:rsid w:val="00A53FE8"/>
    <w:rsid w:val="00A678D8"/>
    <w:rsid w:val="00A716A0"/>
    <w:rsid w:val="00AA0E9E"/>
    <w:rsid w:val="00AA1449"/>
    <w:rsid w:val="00AA56F1"/>
    <w:rsid w:val="00AB7BBB"/>
    <w:rsid w:val="00AD2CD0"/>
    <w:rsid w:val="00AE3757"/>
    <w:rsid w:val="00B05488"/>
    <w:rsid w:val="00B208D6"/>
    <w:rsid w:val="00B2285F"/>
    <w:rsid w:val="00B35902"/>
    <w:rsid w:val="00B37DE8"/>
    <w:rsid w:val="00B5498A"/>
    <w:rsid w:val="00B63303"/>
    <w:rsid w:val="00B63AEA"/>
    <w:rsid w:val="00B8071C"/>
    <w:rsid w:val="00B87CC5"/>
    <w:rsid w:val="00B9163F"/>
    <w:rsid w:val="00B91AF2"/>
    <w:rsid w:val="00BA174F"/>
    <w:rsid w:val="00BA178C"/>
    <w:rsid w:val="00BA3A60"/>
    <w:rsid w:val="00BB0517"/>
    <w:rsid w:val="00BB1E08"/>
    <w:rsid w:val="00BC3A6A"/>
    <w:rsid w:val="00BC6F6B"/>
    <w:rsid w:val="00BD292B"/>
    <w:rsid w:val="00BF2796"/>
    <w:rsid w:val="00C06368"/>
    <w:rsid w:val="00C07C87"/>
    <w:rsid w:val="00C16765"/>
    <w:rsid w:val="00C22FD7"/>
    <w:rsid w:val="00C232FA"/>
    <w:rsid w:val="00C31324"/>
    <w:rsid w:val="00C35CC2"/>
    <w:rsid w:val="00C45237"/>
    <w:rsid w:val="00C55BE5"/>
    <w:rsid w:val="00C64708"/>
    <w:rsid w:val="00C75581"/>
    <w:rsid w:val="00C76460"/>
    <w:rsid w:val="00C85E50"/>
    <w:rsid w:val="00CA4483"/>
    <w:rsid w:val="00CA5AC3"/>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36FF5"/>
    <w:rsid w:val="00D460C5"/>
    <w:rsid w:val="00D674D3"/>
    <w:rsid w:val="00D70EBB"/>
    <w:rsid w:val="00D72181"/>
    <w:rsid w:val="00D72A91"/>
    <w:rsid w:val="00D919D0"/>
    <w:rsid w:val="00D942FA"/>
    <w:rsid w:val="00DA17B5"/>
    <w:rsid w:val="00DB1447"/>
    <w:rsid w:val="00DC024D"/>
    <w:rsid w:val="00DC707B"/>
    <w:rsid w:val="00DD5818"/>
    <w:rsid w:val="00DE5FCC"/>
    <w:rsid w:val="00DE6718"/>
    <w:rsid w:val="00DF2FF9"/>
    <w:rsid w:val="00E06D16"/>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D3916"/>
    <w:rsid w:val="00EE0538"/>
    <w:rsid w:val="00EE0A84"/>
    <w:rsid w:val="00EE4ED8"/>
    <w:rsid w:val="00EE6FB0"/>
    <w:rsid w:val="00EF2AB3"/>
    <w:rsid w:val="00EF6E67"/>
    <w:rsid w:val="00F12EC6"/>
    <w:rsid w:val="00F15E1D"/>
    <w:rsid w:val="00F31053"/>
    <w:rsid w:val="00F36109"/>
    <w:rsid w:val="00F54F89"/>
    <w:rsid w:val="00F64AFD"/>
    <w:rsid w:val="00F7008C"/>
    <w:rsid w:val="00F93556"/>
    <w:rsid w:val="00F957C9"/>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ng-binding">
    <w:name w:val="ng-binding"/>
    <w:rsid w:val="00341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ng-binding">
    <w:name w:val="ng-binding"/>
    <w:rsid w:val="0034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_VaRa_2015\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Muistio2007Suomi.dot</Template>
  <TotalTime>31</TotalTime>
  <Pages>7</Pages>
  <Words>2456</Words>
  <Characters>20499</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northlau</dc:creator>
  <cp:lastModifiedBy>northlau</cp:lastModifiedBy>
  <cp:revision>4</cp:revision>
  <cp:lastPrinted>1900-12-31T22:00:00Z</cp:lastPrinted>
  <dcterms:created xsi:type="dcterms:W3CDTF">2017-03-13T09:18:00Z</dcterms:created>
  <dcterms:modified xsi:type="dcterms:W3CDTF">2017-03-14T14:20:00Z</dcterms:modified>
</cp:coreProperties>
</file>